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NW_28971 (Nordrhein-Westfalen) — Inkrafttreten, Außerkrafttreten</w:t>
      </w:r>
    </w:p>
    <w:p>
      <w:r>
        <w:rPr>
          <w:color w:val="555555"/>
          <w:sz w:val="18"/>
        </w:rPr>
        <w:t xml:space="preserve">LK-Wahlordnung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Gleichzeitig tritt die Verordnung zur Durchführung des Gesetzes über die Errichtung von Landwirtschaftskammern im Land Nordrhein-Westfalen (LK-Wahlordnung) vom 6. Mai 1999 (GV. NRW. S. 182) außer Kraft.</w:t>
      </w:r>
    </w:p>
    <w:p>
      <w:r>
        <w:rPr>
          <w:color w:val="555555"/>
          <w:sz w:val="17"/>
        </w:rPr>
        <w:t xml:space="preserve">Zitiervorschlag: § 41 NW_28971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https://recht.nulegal.eu/gesetze/NW_28971/41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