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NW_28971 (Nordrhein-Westfalen) — Erstellung, Gegenstand der Eintragung</w:t>
      </w:r>
    </w:p>
    <w:p>
      <w:r>
        <w:rPr>
          <w:color w:val="555555"/>
          <w:sz w:val="18"/>
        </w:rPr>
        <w:t xml:space="preserve">LK-Wahlordnung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die Wählerliste gemäß § 10 Absatz 5 des Landwirtschaftskammergesetzes, die die Landwirtschaftskammer von Amts wegen nach dem Muster der Anlage 1 erstellt, sind alle Wahlberechtigten im Sinn des § 7 des Landwirtschaftskammergesetzes nach Namen und Vornamen, Geburtstag, Wohnort und Wohnung sowie der Tätigkeit in einem landwirtschaftlichen Betrieb einzutragen.</w:t>
      </w:r>
    </w:p>
    <w:p>
      <w:r>
        <w:t xml:space="preserve">(2) Bei juristischen Personen gemäß § 7 Absatz 3 des Landwirtschaftskammergesetzes ist eine gesetzliche Vertreterin oder ein gesetzlicher Vertreter oder die bzw. der Bevollmächtigte aufzuführen.</w:t>
      </w:r>
    </w:p>
    <w:p>
      <w:r>
        <w:t xml:space="preserve">(3) Betriebsinhaberinnen oder Betriebsinhaber, deren Betriebe sich über mehrere Wahlbezirke eines Kammerbezirks erstrecken oder die mehrere Betriebe in verschiedenen Wahlbezirken besitzen, sind nur in die Wählerliste ihres Wohnsitzes aufzunehmen.</w:t>
      </w:r>
    </w:p>
    <w:p>
      <w:r>
        <w:t xml:space="preserve">(4) Die Wählerliste wird der Wahlleitung bis zum 50. Tag vor dem Wahltermin zugeleitet.</w:t>
      </w:r>
    </w:p>
    <w:p>
      <w:r>
        <w:rPr>
          <w:color w:val="555555"/>
          <w:sz w:val="17"/>
        </w:rPr>
        <w:t xml:space="preserve">Zitiervorschlag: § 4 NW_28971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https://recht.nulegal.eu/gesetze/NW_28971/4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