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NW_28971 (Nordrhein-Westfalen) — Einspruch</w:t>
      </w:r>
    </w:p>
    <w:p>
      <w:r>
        <w:rPr>
          <w:color w:val="555555"/>
          <w:sz w:val="18"/>
        </w:rPr>
        <w:t xml:space="preserve">LK-Wahlordnung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 die Gültigkeit der Wahl kann jede und jeder Wahlberechtigte in Textform Einspruch bei der Landwirtschaftskammer erheben. Der Einspruch von Wahlberechtigten in der Wahlgruppe 1 kann sich nur gegen die Wahl von Angehörigen der Wahlgruppe 1, der Einspruch von Wahlberechtigten in der Wahlgruppe 2 nur gegen die Wahl von Angehörigen der Wahlgruppe 2 richten.</w:t>
      </w:r>
    </w:p>
    <w:p>
      <w:r>
        <w:t xml:space="preserve">(2) Wegen Nichtbeachtung der Vorschriften über das Wahlverfahren kann die Wahl nach Ablauf von zwei Wochen seit Bekanntmachung des Wahlergebnisses (§ 28 Absatz 1 Satz 2) nicht mehr angefochten werden.</w:t>
      </w:r>
    </w:p>
    <w:p>
      <w:r>
        <w:t xml:space="preserve">(3) Zur Beseitigung erheblicher Mängel des Wahlverfahrens in einzelnen Wahlbezirken ist in diesen durch Beschluss der Hauptversammlung die Wiederholung der Wahl anzuordnen. Bis zur Durchführung dieser Wahl ruhen die Mandate der betroffenen Wahlgruppe.</w:t>
      </w:r>
    </w:p>
    <w:p>
      <w:r>
        <w:t xml:space="preserve">(4) Richtet sich ein Einspruch gegen die Wahl insgesamt, ist er binnen zwei Wochen nach Bekanntmachung des Wahlergebnisses (§ 28 Absatz 1 Satz 2) bei der Aufsichtsbehörde anzubringen. Er kann nur darauf gestützt werden, dass gegen das Gesetz, gegen die Verordnung oder gegen Satzungsbestimmungen verstoßen worden ist und dass der Verstoß geeignet war, das Ergebnis der Wahl zu beeinflussen.</w:t>
      </w:r>
    </w:p>
    <w:p>
      <w:r>
        <w:rPr>
          <w:color w:val="555555"/>
          <w:sz w:val="17"/>
        </w:rPr>
        <w:t xml:space="preserve">Zitiervorschlag: § 32 NW_28971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https://recht.nulegal.eu/gesetze/NW_28971/32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