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NW_28971 (Nordrhein-Westfalen) — Benachrichtigung der Gewählten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Wahlleitung benachrichtigt die Gewählten von der Wahl in Textform und fordert sie auf, sich binnen einer Woche über die Annahme der Wahl in Textform zu erklären.</w:t>
      </w:r>
    </w:p>
    <w:p>
      <w:r>
        <w:t xml:space="preserve">(2) Die Gewählten sind in der Benachrichtigung nach Absatz 1 darauf hinzuweisen, dass die Wahl als angenommen gilt, wenn innerhalb der Frist keine Erklärung eingeht, und dass eine Erklärung unter Vorbehalt als Ablehnung gilt.</w:t>
      </w:r>
    </w:p>
    <w:p>
      <w:r>
        <w:rPr>
          <w:color w:val="555555"/>
          <w:sz w:val="17"/>
        </w:rPr>
        <w:t xml:space="preserve">Zitiervorschlag: § 29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