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NW_28971 (Nordrhein-Westfalen) — Nachwahl</w:t>
      </w:r>
    </w:p>
    <w:p>
      <w:r>
        <w:rPr>
          <w:color w:val="555555"/>
          <w:sz w:val="18"/>
        </w:rPr>
        <w:t xml:space="preserve">LK-Wahlordnung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Nachwahlen nach § 12 Absatz 2 des Landwirtschaftskammergesetzes gelten die gleichen Vorschriften wie für die Hauptwahl.</w:t>
      </w:r>
    </w:p>
    <w:p>
      <w:r>
        <w:t xml:space="preserve">(2) Für jede Nachwahl sind neue Wahlvorschläge einzureichen.</w:t>
      </w:r>
    </w:p>
    <w:p>
      <w:r>
        <w:rPr>
          <w:color w:val="555555"/>
          <w:sz w:val="17"/>
        </w:rPr>
        <w:t xml:space="preserve">Zitiervorschlag: § 22 NW_28971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https://recht.nulegal.eu/gesetze/NW_28971/22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