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NW_28971 (Nordrhein-Westfalen) — Änderung vorgeschlagener Bewerberinnen und Bewerber</w:t>
      </w:r>
    </w:p>
    <w:p>
      <w:r>
        <w:rPr>
          <w:color w:val="555555"/>
          <w:sz w:val="18"/>
        </w:rPr>
        <w:t xml:space="preserve">LK-Wahlordnung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Bewerberinnen und Bewerber, gegen deren Wählbarkeit die Wahlleitung Bedenken erhebt, können innerhalb der in § 14 Absatz 3 vorgeschriebenen Frist durch andere ersetzt werden, wenn die vorschlagsberechtigten Vereine beziehungsweise Arbeitnehmerinnen- oder Arbeitnehmervereinigungen, bei anderen Vorschlägen mehr als die Hälfte der Unterzeichnenden dies in Textform beantragen.</w:t>
      </w:r>
    </w:p>
    <w:p>
      <w:r>
        <w:t xml:space="preserve">(2) Die Zahl der Bewerberinnen und Bewerber kann nachträglich nur unter den für die Einreichung von Wahlvorschlägen geltenden Bestimmungen des § 11 und nur dann ergänzt werden, wenn sie nicht die in § 10 Absatz 2 vorgeschriebene Mindestzahl an Bewerberinnen und Bewerbern erreicht.</w:t>
      </w:r>
    </w:p>
    <w:p>
      <w:r>
        <w:rPr>
          <w:color w:val="555555"/>
          <w:sz w:val="17"/>
        </w:rPr>
        <w:t xml:space="preserve">Zitiervorschlag: § 15 NW_28971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https://recht.nulegal.eu/gesetze/NW_28971/15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NW_28971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