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NW_28967 (Nordrhein-Westfalen) — Sehschädigungen (Förderschwerpunkt Sehen)</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Bedarf an sonderpädagogischer Unterstützung im Förderschwerpunkt Sehen besteht, wenn das schulische Lernen auf Grund von Blindheit oder Sehbehinderung schwerwiegend beeinträchtigt ist.</w:t>
      </w:r>
    </w:p>
    <w:p>
      <w:r>
        <w:t xml:space="preserve">(2) Blindheit liegt vor, wenn das Sehvermögen so stark herabgesetzt ist, dass die Betroffenen auch nach optischer Korrektur ihrer Umwelt überwiegend nicht visuell begegnen. Schülerinnen und Schüler, die mit Erblindung rechnen müssen, werden bei der Feststellung des Bedarfs an sonderpädagogischer Unterstützung Blinden gleichgestellt.</w:t>
      </w:r>
    </w:p>
    <w:p>
      <w:r>
        <w:t xml:space="preserve">(3) Eine Sehbehinderung liegt vor, wenn auch nach optischer Korrektur Teilfunktionen des Sehens, wie Fern- oder Nahvisus, Gesichtsfeld, Kontrast, Farbe, Blendung und Bewegung erheblich eingeschränkt sind oder wenn eine erhebliche Störung der zentralen Verarbeitung der Seheindrücke besteht.</w:t>
      </w:r>
    </w:p>
    <w:p>
      <w:r>
        <w:rPr>
          <w:color w:val="555555"/>
          <w:sz w:val="17"/>
        </w:rPr>
        <w:t xml:space="preserve">Zitiervorschlag: § 8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