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44 NW_28967 (Nordrhein-Westfalen) — Ärztliches Gutachten</w:t>
      </w:r>
    </w:p>
    <w:p>
      <w:r>
        <w:rPr>
          <w:color w:val="555555"/>
          <w:sz w:val="18"/>
        </w:rPr>
        <w:t xml:space="preserve">Fn 10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Eltern weisen durch ein ärztliches Gutachten nach, dass die Voraussetzungen des § 43 erfüllt sind. Das Schulamt kann bei der unteren Gesundheitsbehörde ein amtsärztliches Gutachten anfordern.</w:t>
      </w:r>
    </w:p>
    <w:p>
      <w:r>
        <w:rPr>
          <w:color w:val="555555"/>
          <w:sz w:val="17"/>
        </w:rPr>
        <w:t xml:space="preserve">Zitiervorschlag: § 44 NW_28967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https://recht.nulegal.eu/gesetze/NW_28967/44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