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NW_28967 (Nordrhein-Westfalen) — Versetzung, Zeugnisse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Versetzung findet nicht statt. Am Ende jedes Schuljahres entscheidet die Klassenkonferenz, in welcher Klasse die Schülerin oder der Schüler im nächsten Schuljahr gefördert werden wird.</w:t>
      </w:r>
    </w:p>
    <w:p>
      <w:r>
        <w:t xml:space="preserve">(2) Die Schülerin oder der Schüler erhält am Ende jedes Schuljahres ein Zeugnis.</w:t>
      </w:r>
    </w:p>
    <w:p>
      <w:r>
        <w:t xml:space="preserve">(3) Die Schülerin oder der Schüler erhält am Ende der Schulbesuchszeit ein Abschlusszeugnis, das die erworbenen Kenntnisse, Fähigkeiten und Fertigkeiten bescheinigt.</w:t>
      </w:r>
    </w:p>
    <w:p>
      <w:r>
        <w:t xml:space="preserve">7. Abschnitt</w:t>
      </w:r>
    </w:p>
    <w:p>
      <w:r>
        <w:t xml:space="preserve">Schülerinnen und Schüler mit Autismus-Spektrum-Störungen</w:t>
      </w:r>
    </w:p>
    <w:p>
      <w:r>
        <w:rPr>
          <w:color w:val="555555"/>
          <w:sz w:val="17"/>
        </w:rPr>
        <w:t xml:space="preserve">Zitiervorschlag: § 41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