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NW_28967 (Nordrhein-Westfalen) — Unterrichtsorganisation in der Klasse 10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Kann aufgrund der Schülerzahl nur eine Klasse für alle Schülerinnen und Schüler der Klasse 10 gebildet werden, gestalten die Lehrkräfte den Unterricht durch Differenzierung nach den angestrebten Abschlüssen.</w:t>
      </w:r>
    </w:p>
    <w:p>
      <w:r>
        <w:t xml:space="preserve">6. Abschnitt</w:t>
      </w:r>
    </w:p>
    <w:p>
      <w:r>
        <w:t xml:space="preserve">Zieldifferenter Bildungsgang Geistige Entwicklung</w:t>
      </w:r>
    </w:p>
    <w:p>
      <w:r>
        <w:rPr>
          <w:color w:val="555555"/>
          <w:sz w:val="17"/>
        </w:rPr>
        <w:t xml:space="preserve">Zitiervorschlag: § 37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