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NW_28967 (Nordrhein-Westfalen) — Aufnahme in die Klasse 10</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Klassenkonferenz entscheidet, in welchen Bildungsgang der Klasse 10 die Schülerin oder der Schüler aufgenommen wird.</w:t>
      </w:r>
    </w:p>
    <w:p>
      <w:r>
        <w:t xml:space="preserve">(2) Die Klassenkonferenz lässt Schülerinnen und Schüler zum Bildungsgang zu, der zu einem dem Ersten Schulabschluss gleichwertigen Abschluss führt, wenn erwartet werden kann, dass sie diesen Abschluss aufgrund ihrer Leistungsfähigkeit und ihrer Gesamtentwicklung erreichen werden und die Voraussetzungen des § 35 Absatz 4 erfüllt sind.</w:t>
      </w:r>
    </w:p>
    <w:p>
      <w:r>
        <w:rPr>
          <w:color w:val="555555"/>
          <w:sz w:val="17"/>
        </w:rPr>
        <w:t xml:space="preserve">Zitiervorschlag: § 36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