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NW_28967 (Nordrhein-Westfalen) — Unterrichtsfächer, Stundentafeln</w:t>
      </w:r>
    </w:p>
    <w:p>
      <w:r>
        <w:rPr>
          <w:color w:val="555555"/>
          <w:sz w:val="18"/>
        </w:rPr>
        <w:t xml:space="preserve">Fn 10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Unterrichtsfächer und die Stundentafeln richten sich nach denen der Grundschule und der Hauptschule. § 28 Absatz 2 gilt entsprechend.</w:t>
      </w:r>
    </w:p>
    <w:p>
      <w:r>
        <w:t xml:space="preserve">(2) Die Klassenkonferenz beschließt, ob sie für eine Schülerin oder einen Schüler die für das Fach Englisch in der Stundentafel vorgesehenen Stunden für dieses Fach oder für verstärkte Bildungsangebote in anderen Fächern der Stundentafel verwendet.</w:t>
      </w:r>
    </w:p>
    <w:p>
      <w:r>
        <w:rPr>
          <w:color w:val="555555"/>
          <w:sz w:val="17"/>
        </w:rPr>
        <w:t xml:space="preserve">Zitiervorschlag: § 31 NW_28967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https://recht.nulegal.eu/gesetze/NW_28967/31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NW_28967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