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NW_28967 (Nordrhein-Westfalen) — Förderschwerpunkt Geistige Entwicklung</w:t>
      </w:r>
    </w:p>
    <w:p>
      <w:r>
        <w:rPr>
          <w:color w:val="555555"/>
          <w:sz w:val="18"/>
        </w:rPr>
        <w:t xml:space="preserve">Fn 10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Am Ende der Schulbesuchszeit erhält die Schülerin oder der Schüler ein Abschlusszeugnis, das die erworbenen Kenntnisse, Fähigkeiten und Fertigkeiten bescheinigt.</w:t>
      </w:r>
    </w:p>
    <w:p>
      <w:r>
        <w:t xml:space="preserve">(2) Für den Bildungsgang gelten die §§ 38 bis 41.</w:t>
      </w:r>
    </w:p>
    <w:p>
      <w:r>
        <w:t xml:space="preserve">5. Abschnitt</w:t>
      </w:r>
    </w:p>
    <w:p>
      <w:r>
        <w:t xml:space="preserve">Zieldifferenter Bildungsgang Lernen</w:t>
      </w:r>
    </w:p>
    <w:p>
      <w:r>
        <w:rPr>
          <w:color w:val="555555"/>
          <w:sz w:val="17"/>
        </w:rPr>
        <w:t xml:space="preserve">Zitiervorschlag: § 30 NW_28967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https://recht.nulegal.eu/gesetze/NW_28967/30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