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NW_28967 (Nordrhein-Westfalen) — Förderschwerpunkt Emotionale und soziale Entwicklung</w:t>
      </w:r>
    </w:p>
    <w:p>
      <w:r>
        <w:rPr>
          <w:color w:val="555555"/>
          <w:sz w:val="18"/>
        </w:rPr>
        <w:t xml:space="preserve">Fn 10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Unterricht im Förderschwerpunkt Emotionale und soziale Entwicklung führt zu den Abschlüssen</w:t>
      </w:r>
    </w:p>
    <w:p>
      <w:r>
        <w:t xml:space="preserve">1. der allgemeinen Schulen und</w:t>
      </w:r>
    </w:p>
    <w:p>
      <w:r>
        <w:t xml:space="preserve">2. im zieldifferenten Bildungsgang Lernen.</w:t>
      </w:r>
    </w:p>
    <w:p>
      <w:r>
        <w:t xml:space="preserve">(2) Soweit es die emotionale und soziale Entwicklung und die besondere Lebenssituation von Schülerinnen und Schülern erfordert, kann die Schule im Rahmen des Förderplans (§ 21 Absatz 7) für begrenzte Zeit von der Stundentafel abweichen.</w:t>
      </w:r>
    </w:p>
    <w:p>
      <w:r>
        <w:t xml:space="preserve">(3) Für die Schülerinnen und Schüler im zieldifferenten Bildungsgang Lernen gelten die Absätze 1 und 2 sowie die §§ 31 bis 37.</w:t>
      </w:r>
    </w:p>
    <w:p>
      <w:r>
        <w:t xml:space="preserve">(4) Über die Aufnahme einer Schülerin oder eines Schülers in einen schulischen Lernort gemäß § 132 Absatz 3 des Schulgesetzes NRW entscheidet die Schulaufsichtsbehörde; § 14 gilt entsprechend. Die Aufnahme ist auf höchstens sechs Monate befristet. Über jede weitere, wiederum auf höchstens sechs Monate befristete Verlängerung entscheidet die Schulaufsichtsbehörde.</w:t>
      </w:r>
    </w:p>
    <w:p>
      <w:r>
        <w:t xml:space="preserve">(5) Die Bildungs- und Erziehungsangebote zielen auf die baldige Rückkehr in die bisher besuchte Schule. Diese Schule und der schulische Lernort stimmen den individuellen Förderplan miteinander ab.</w:t>
      </w:r>
    </w:p>
    <w:p>
      <w:r>
        <w:t xml:space="preserve">(6) Bei der Rückkehr in die bisher besuchte Schule erhält diese einen Bericht über den Leistungsstand der Schülerin oder des Schülers und eine Empfehlung für die weitere schulische Förderung.</w:t>
      </w:r>
    </w:p>
    <w:p>
      <w:r>
        <w:rPr>
          <w:color w:val="555555"/>
          <w:sz w:val="17"/>
        </w:rPr>
        <w:t xml:space="preserve">Zitiervorschlag: § 28 NW_28967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https://recht.nulegal.eu/gesetze/NW_28967/28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