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NW_28967 (Nordrhein-Westfalen) — Förderschwerpunkt Sprache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Unterricht im Förderschwerpunkt Sprache führt zu den Abschlüssen</w:t>
      </w:r>
    </w:p>
    <w:p>
      <w:r>
        <w:t xml:space="preserve">1. der allgemeinen Schulen und</w:t>
      </w:r>
    </w:p>
    <w:p>
      <w:r>
        <w:t xml:space="preserve">2. im zieldifferenten Bildungsgang Lernen.</w:t>
      </w:r>
    </w:p>
    <w:p>
      <w:r>
        <w:t xml:space="preserve">(2) Für die Schülerinnen und Schüler im zieldifferenten Bildungsgang Lernen gelten Absatz 1 sowie die §§ 31 bis 37.</w:t>
      </w:r>
    </w:p>
    <w:p>
      <w:r>
        <w:rPr>
          <w:color w:val="555555"/>
          <w:sz w:val="17"/>
        </w:rPr>
        <w:t xml:space="preserve">Zitiervorschlag: § 27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