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NW_28967 (Nordrhein-Westfalen) — Unterrichtsorganisation der Förderschule,Förderschwerpunkt Körperliche und motorische Entwicklung</w:t>
      </w:r>
    </w:p>
    <w:p>
      <w:r>
        <w:rPr>
          <w:color w:val="555555"/>
          <w:sz w:val="18"/>
        </w:rPr>
        <w:t xml:space="preserve">Fn 10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An der Förderschule mit dem Förderschwerpunkt Körperliche und motorische Entwicklung findet die Förderung in der Regel ganztägig statt. Der schulische Tagesablauf gliedert sich in Unterricht einschließlich spezieller sonderpädagogischer Förderung, gestaltete Freizeit, andere Angebote im Rahmen der Ganztagsschule und Ruhepausen.</w:t>
      </w:r>
    </w:p>
    <w:p>
      <w:r>
        <w:rPr>
          <w:color w:val="555555"/>
          <w:sz w:val="17"/>
        </w:rPr>
        <w:t xml:space="preserve">Zitiervorschlag: § 26 NW_28967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https://recht.nulegal.eu/gesetze/NW_28967/26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