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NW_28967 (Nordrhein-Westfalen) — Förderschwerpunkt Körperliche und motorische Entwicklung</w:t>
      </w:r>
    </w:p>
    <w:p>
      <w:r>
        <w:rPr>
          <w:color w:val="555555"/>
          <w:sz w:val="18"/>
        </w:rPr>
        <w:t xml:space="preserve">Fn 10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Unterricht im Förderschwerpunkt Körperliche und motorische Entwicklung führt zu den Abschlüssen</w:t>
      </w:r>
    </w:p>
    <w:p>
      <w:r>
        <w:t xml:space="preserve">1. der allgemeinen Schulen,</w:t>
      </w:r>
    </w:p>
    <w:p>
      <w:r>
        <w:t xml:space="preserve">2. im zieldifferenten Bildungsgang Lernen und</w:t>
      </w:r>
    </w:p>
    <w:p>
      <w:r>
        <w:t xml:space="preserve">3. im zieldifferenten Bildungsgang Geistige Entwicklung.</w:t>
      </w:r>
    </w:p>
    <w:p>
      <w:r>
        <w:t xml:space="preserve">(2) Für die Schülerinnen und Schüler im zieldifferenten Bildungsgang Lernen gelten Absatz 1 sowie die §§ 31 bis 37.</w:t>
      </w:r>
    </w:p>
    <w:p>
      <w:r>
        <w:t xml:space="preserve">(3) Für die Schülerinnen und Schüler im zieldifferenten Bildungsgang Geistige Entwicklung gelten Absatz 1 sowie die §§ 38 bis 41.</w:t>
      </w:r>
    </w:p>
    <w:p>
      <w:r>
        <w:rPr>
          <w:color w:val="555555"/>
          <w:sz w:val="17"/>
        </w:rPr>
        <w:t xml:space="preserve">Zitiervorschlag: § 25 NW_28967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https://recht.nulegal.eu/gesetze/NW_28967/25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NW_28967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