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NW_28967 (Nordrhein-Westfalen) — Pädagogische Frühförderung hör- und sehgeschädigter Kinder</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Kinder mit einer Hör- oder Sehschädigung werden auf Antrag der Eltern in die pädagogische Frühförderung aufgenommen. Ziel der pädagogischen Frühförderung ist, in Zusammenarbeit mit anderen Diensten die Persönlichkeit des Kindes mit seiner verbleibenden Hör- oder Sehfähigkeit so zu entfalten, dass zu Beginn der Schulpflicht eine gemeinsame Grundlage für den Unterricht erreicht wird.</w:t>
      </w:r>
    </w:p>
    <w:p>
      <w:r>
        <w:t xml:space="preserve">(2) Die pädagogische Frühförderung beginnt frühestens drei Monate nach der Geburt als Hausfrüherziehung. Mit Beginn des vierten Lebensjahres werden die Kinder in einem Förderschulkindergarten als Teil der Förderschule oder in einer Kindertageseinrichtung mit Unterstützung durch die Förderschule gefördert. Soweit die personellen und sächlichen Voraussetzungen erfüllt sind, kann auch ein Kind nach Vollendung des ersten Lebensjahres in einem Förderschulkindergarten oder einer Kindertageseinrichtung mit Unterstützung durch die Förderschule gefördert werden. Die Ansprüche aus § 24 des Achten Buches Sozialgesetzbuch – Kinder- und Jugendhilfe – in der Fassung der Bekanntmachung vom 11. September 2012 (BGBl. I S. 2022), das zuletzt durch Artikel 1 des Gesetzes vom 29. August 2013 (BGBl. I S. 3464) geändert worden ist, bleiben unberührt.</w:t>
      </w:r>
    </w:p>
    <w:p>
      <w:r>
        <w:t xml:space="preserve">(3) Die Organisation der pädagogischen Frühförderung liegt in der Verantwortung der jeweiligen Förderschule. Förderschulen mit pädaudiologischen Zentren oder Frühförderzentren für Hör- und Sehgeschädigte koordinieren die inhaltlichen und organisatorischen Aufgaben.</w:t>
      </w:r>
    </w:p>
    <w:p>
      <w:r>
        <w:t xml:space="preserve">(4) Über die Aufnahme in die pädagogische Frühförderung entscheidet die Schulaufsichtsbehörde auf Antrag der Eltern, nachdem sie ein medizinisches Gutachten der unteren Gesundheitsbehörde eingeholt hat.</w:t>
      </w:r>
    </w:p>
    <w:p>
      <w:r>
        <w:t xml:space="preserve">4. Abschnitt</w:t>
      </w:r>
    </w:p>
    <w:p>
      <w:r>
        <w:t xml:space="preserve">Einzelne Förderschwerpunkte</w:t>
      </w:r>
    </w:p>
    <w:p>
      <w:r>
        <w:rPr>
          <w:color w:val="555555"/>
          <w:sz w:val="17"/>
        </w:rPr>
        <w:t xml:space="preserve">Zitiervorschlag: § 22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