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NW_28967 (Nordrhein-Westfalen) — Allgemeine Bestimmungen</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sonderpädagogisch geförderte Schülerinnen und Schüler gelten die Ausbildungs- und Prüfungsordnungen einschließlich der Unterrichtsfächer und der Stundentafeln der allgemeinen Schulen, soweit diese Verordnung nichts anderes bestimmt.</w:t>
      </w:r>
    </w:p>
    <w:p>
      <w:r>
        <w:t xml:space="preserve">(2) Unterrichtet eine Schule in unterschiedlichen Bildungsgängen, wird der Unterricht durch innere oder äußere Differenzierung gestaltet.</w:t>
      </w:r>
    </w:p>
    <w:p>
      <w:r>
        <w:t xml:space="preserve">(3) Der Unterricht in Förderschulen kann in jahrgangsübergreifenden Klassen erteilt werden, sofern dies auf Grund der Vorschriften für die Klassenbildung erforderlich und pädagogisch geboten ist.</w:t>
      </w:r>
    </w:p>
    <w:p>
      <w:r>
        <w:t xml:space="preserve">(4) Die Schule kann vorübergehend die Anteile von Fächern an der Wochenstundenzahl erhöhen oder verringern. Dabei stellt sie sicher, dass im Schuljahr insgesamt in jedem Fach so viel Unterricht erteilt wird, wie es die Stundentafel bestimmt.</w:t>
      </w:r>
    </w:p>
    <w:p>
      <w:r>
        <w:t xml:space="preserve">(5) Für den Unterricht gelten grundsätzlich die Unterrichtsvorgaben (§ 29 des Schulgesetzes NRW) für die allgemeine Schule sowie die Richtlinien für die einzelnen Förderschwerpunkte, die sich auf zielgleiches und zieldifferentes Lernen beziehen. Bei der Organisation und Gestaltung des Unterrichts einschließlich der Unterrichts- und Pausenzeiten berücksichtigt die Schule die Lernmöglichkeiten und die Belastbarkeit der Schülerinnen und Schüler.</w:t>
      </w:r>
    </w:p>
    <w:p>
      <w:r>
        <w:t xml:space="preserve">(6) Die Schülerinnen und Schüler mit nach § 14 festgestelltem Bedarf an sonderpädagogischer Unterstützung erhalten Zeugnisse mit der Bemerkung, dass sie sonderpädagogisch gefördert werden. Die Zeugnisse nennen außerdem den Förderschwerpunkt und den Bildungsgang. Auf Wunsch der Eltern gelten bei zielgleicher Förderung die Sätze 1 und 2 nicht für Abschlusszeugnisse.</w:t>
      </w:r>
    </w:p>
    <w:p>
      <w:r>
        <w:t xml:space="preserve">(7) Die Lehrkräfte, die die Schülerin oder den Schüler unterrichten, erstellen nach Beratung mit allen anderen an der Förderung beteiligten Personen einen individuellen Förderplan. Sie überprüfen ihn regelmäßig und schreiben ihn fort. Die Sätze 1 und 2 gelten auch dann, wenn eine Schülerin oder ein Schüler sonderpädagogisch gefördert wird, ohne dass ein förmliches Verfahren nach den §§ 11 bis 15 durchgeführt worden ist.</w:t>
      </w:r>
    </w:p>
    <w:p>
      <w:r>
        <w:t xml:space="preserve">(8) Die Klassenkonferenz kann aus zwingenden pädagogischen Gründen im Einzelfall von den §§ 23 bis 42 dieser Verordnung sowie von den Vorschriften der Ausbildungs- und Prüfungsordnungen der allgemeinen Schulen über Leistungsbewertungen, Zeugnisse und Versetzungen abweichen, wenn gewährleistet bleibt, dass die erwarteten Lernergebnisse (Bildungsstandards) eingehalten werden und die Schülerin oder der Schüler auf diesem Weg das Ziel des Bildungsgangs erreichen kann.</w:t>
      </w:r>
    </w:p>
    <w:p>
      <w:r>
        <w:rPr>
          <w:color w:val="555555"/>
          <w:sz w:val="17"/>
        </w:rPr>
        <w:t xml:space="preserve">Zitiervorschlag: § 21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