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NW_28967 (Nordrhein-Westfalen) — Schülerinnen und Schüler aus Familien mit Migrationshintergrund</w:t>
      </w:r>
    </w:p>
    <w:p>
      <w:r>
        <w:rPr>
          <w:color w:val="555555"/>
          <w:sz w:val="18"/>
        </w:rPr>
        <w:t xml:space="preserve">Fn 10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Fehlende Kenntnisse der deutschen Sprache auf Grund einer anderen Herkunftssprache begründen keinen Bedarf an sonderpädagogischer Unterstützung. Soweit es erforderlich ist, zieht die Schulaufsichtsbehörde eine Person hinzu, die die Herkunftssprache spricht.</w:t>
      </w:r>
    </w:p>
    <w:p>
      <w:r>
        <w:t xml:space="preserve">3. Abschnitt</w:t>
      </w:r>
    </w:p>
    <w:p>
      <w:r>
        <w:t xml:space="preserve">Gemeinsame Bestimmungen für die Bildungsgänge</w:t>
      </w:r>
    </w:p>
    <w:p>
      <w:r>
        <w:rPr>
          <w:color w:val="555555"/>
          <w:sz w:val="17"/>
        </w:rPr>
        <w:t xml:space="preserve">Zitiervorschlag: § 20 NW_28967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https://recht.nulegal.eu/gesetze/NW_28967/20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