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NW_28967 (Nordrhein-Westfalen) — Inklusive Bildung</w:t>
      </w:r>
    </w:p>
    <w:p>
      <w:r>
        <w:rPr>
          <w:color w:val="555555"/>
          <w:sz w:val="18"/>
        </w:rPr>
        <w:t xml:space="preserve">Fn 10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Sonderpädagogische Förderung findet in der Regel in der allgemeinen Schule statt. Die Eltern können abweichend hiervon die Förderschule wählen.</w:t>
      </w:r>
    </w:p>
    <w:p>
      <w:r>
        <w:t xml:space="preserve">(2) In der allgemeinen Schule werden Schülerinnen und Schüler mit und ohne Behinderung in der Regel gemeinsam unterrichtet und erzogen (inklusive Bildung).</w:t>
      </w:r>
    </w:p>
    <w:p>
      <w:r>
        <w:rPr>
          <w:color w:val="555555"/>
          <w:sz w:val="17"/>
        </w:rPr>
        <w:t xml:space="preserve">Zitiervorschlag: § 1 NW_28967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https://recht.nulegal.eu/gesetze/NW_28967/1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