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NW_28964 (Nordrhein-Westfalen)</w:t>
      </w:r>
    </w:p>
    <w:p>
      <w:r>
        <w:rPr>
          <w:color w:val="555555"/>
          <w:sz w:val="18"/>
        </w:rPr>
        <w:t xml:space="preserve">Zweites bis Fünftes Gesetz zur Befristung des Landesrechts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April 2005</w:t>
      </w:r>
    </w:p>
    <w:p>
      <w:r>
        <w:t xml:space="preserve">Redaktioneller Hinweis:</w:t>
      </w:r>
    </w:p>
    <w:p>
      <w:r>
        <w:t xml:space="preserve">Sämtliche Änderungen des Zweiten bis Vierten Befristungsgesetzes sind in die elektronische SGV. NRW. eingepflegt worden.</w:t>
      </w:r>
    </w:p>
    <w:p>
      <w:r>
        <w:t xml:space="preserve">Beim Fünften Befristungsgesetz sind die Artikel 1 bis 121 ebenfalls eingearbeitet. Der Inhalt der Artikel 122, 123 und 124 wird nachfolgend wiedergegeben:</w:t>
      </w:r>
    </w:p>
    <w:p>
      <w:r>
        <w:rPr>
          <w:color w:val="555555"/>
          <w:sz w:val="17"/>
        </w:rPr>
        <w:t xml:space="preserve">Zitiervorschlag: Volltext NW_28964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