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124 NW_28964 (Nordrhein-Westfalen) — In-Kraft-Treten</w:t>
      </w:r>
    </w:p>
    <w:p>
      <w:r>
        <w:rPr>
          <w:color w:val="555555"/>
          <w:sz w:val="18"/>
        </w:rPr>
        <w:t xml:space="preserve">Zweites bis Fünftes Gesetz zur Befristung des Landesrechts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seiner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zugleich für</w:t>
      </w:r>
    </w:p>
    <w:p>
      <w:r>
        <w:t xml:space="preserve">den Innenminister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Wirtschaft und Arbeit</w:t>
      </w:r>
    </w:p>
    <w:p>
      <w:r>
        <w:t xml:space="preserve">Die Ministerin</w:t>
      </w:r>
    </w:p>
    <w:p>
      <w:r>
        <w:t xml:space="preserve">für Gesundheit, Soziales</w:t>
      </w:r>
    </w:p>
    <w:p>
      <w:r>
        <w:t xml:space="preserve">Frauen und Familie</w:t>
      </w:r>
    </w:p>
    <w:p>
      <w:r>
        <w:t xml:space="preserve">Die Ministerin</w:t>
      </w:r>
    </w:p>
    <w:p>
      <w:r>
        <w:t xml:space="preserve">für Schule, Jugend und Kinder</w:t>
      </w:r>
    </w:p>
    <w:p>
      <w:r>
        <w:rPr>
          <w:color w:val="555555"/>
          <w:sz w:val="17"/>
        </w:rPr>
        <w:t xml:space="preserve">Zitiervorschlag: Art 124 NW_28964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https://recht.nulegal.eu/gesetze/NW_28964/124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