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123 NW_28964 (Nordrhein-Westfalen) — Redaktionelle Anmerkung an jeder Verfallklausel von Gesetzen</w:t>
      </w:r>
    </w:p>
    <w:p>
      <w:r>
        <w:rPr>
          <w:color w:val="555555"/>
          <w:sz w:val="18"/>
        </w:rPr>
        <w:t xml:space="preserve">Zweites bis Fünftes Gesetz zur Befristung des Landesrechts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Veröffentlichung von Gesetzen mit Verfallklausel ist unter Anfügung einer Fußnote am Ende des Gesetzestextes folgende redaktionelle Anmerkung anzufügen:</w:t>
      </w:r>
    </w:p>
    <w:p>
      <w:r>
        <w:t xml:space="preserve">„Dies ist eine gesetzlich angeordnete Evaluierungsverpflichtung. Sie verpflichtet die Landesregierung, dem Landtag rechtzeitig vor dem genannten Datum das Ergebnis der Evaluierung vorzulegen.“</w:t>
      </w:r>
    </w:p>
    <w:p>
      <w:r>
        <w:rPr>
          <w:color w:val="555555"/>
          <w:sz w:val="17"/>
        </w:rPr>
        <w:t xml:space="preserve">Zitiervorschlag: Art 123 NW_28964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https://recht.nulegal.eu/gesetze/NW_28964/123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