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122 NW_28964 (Nordrhein-Westfalen) — Berichtspflicht der Landesregierung gegenüber dem Landtag im Zusammenhang mit der Evaluierung von Gesetzen</w:t>
      </w:r>
    </w:p>
    <w:p>
      <w:r>
        <w:rPr>
          <w:color w:val="555555"/>
          <w:sz w:val="18"/>
        </w:rPr>
        <w:t xml:space="preserve">Zweites bis Fünftes Gesetz zur Befristung des Landesrechts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Landesregierung benennt dem Landtag jährlich alle Gesetze, die zum Zweck der Evaluierung eine Verfallklausel oder Berichtspflicht aufweisen und deren Befristung innerhalb des nächsten oder des übernächsten Jahres ausläuft. Sie erläutert dabei die beabsichtigten Evaluierungsmaßnahmen. Dies gilt auch für Rechtsverordnungen, die der Zustimmung eines Landtagsausschusses bedürfen.</w:t>
      </w:r>
    </w:p>
    <w:p>
      <w:r>
        <w:rPr>
          <w:color w:val="555555"/>
          <w:sz w:val="17"/>
        </w:rPr>
        <w:t xml:space="preserve">Zitiervorschlag: Art 122 NW_28964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https://recht.nulegal.eu/gesetze/NW_28964/122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