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NW_28955 (Nordrhein-Westfalen) — Aufgaben der regionalen Planungsträger</w:t>
      </w:r>
    </w:p>
    <w:p>
      <w:r>
        <w:rPr>
          <w:color w:val="555555"/>
          <w:sz w:val="18"/>
        </w:rPr>
        <w:t xml:space="preserve">Landesplanungsgesetz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regionale Planungsträger trifft die sachlichen und verfahrensmäßigen Entscheidungen zur Aufstellung des Regionalplanes. Das Aufstellungsverfahren wird von der Regionalplanungsbehörde durchgeführt; sie ist an die Weisungen des regionalen Planungsträgers gebunden. Seine Mitglieder können jederzeit von der Regionalplanungsbehörde über den Stand des Aufstellungsverfahrens mündliche Auskunft verlangen. Sie ist unverzüglich zu erteilen. Der regionale Planungsträger kann einzelne seiner Mitglieder mit der Einsichtnahme in die Planungsunterlagen beauftragen; er hat dem Antrag einer Fraktion oder eines Fünftels seiner stimmberechtigten Mitglieder auf Einsichtnahme stattzugeben. Das Aufstellungsverfahren endet durch Feststellungsbeschluss.</w:t>
      </w:r>
    </w:p>
    <w:p>
      <w:r>
        <w:t xml:space="preserve">(2) Die Regionalplanungsbehörde unterrichtet den regionalen Planungsträger über alle regional bedeutsamen Entwicklungen. Sie berät mit ihm die Vorbereitung und Festlegung von raumbedeutsamen und strukturwirksamen Planungen sowie Förderprogramme und -maßnahmen des Landes von regionaler Bedeutung, z. B. auf den Gebieten:</w:t>
      </w:r>
    </w:p>
    <w:p>
      <w:r>
        <w:t xml:space="preserve">Städtebau,</w:t>
      </w:r>
    </w:p>
    <w:p>
      <w:r>
        <w:t xml:space="preserve">Verkehr (soweit nicht in Absatz 4 geregelt),</w:t>
      </w:r>
    </w:p>
    <w:p>
      <w:r>
        <w:t xml:space="preserve">Freizeit- und Erholungswesen, Tourismus,</w:t>
      </w:r>
    </w:p>
    <w:p>
      <w:r>
        <w:t xml:space="preserve">Landschaftspflege,</w:t>
      </w:r>
    </w:p>
    <w:p>
      <w:r>
        <w:t xml:space="preserve">Wasserwirtschaft,</w:t>
      </w:r>
    </w:p>
    <w:p>
      <w:r>
        <w:t xml:space="preserve">Abfallbeseitigung und Altlasten,</w:t>
      </w:r>
    </w:p>
    <w:p>
      <w:r>
        <w:t xml:space="preserve">Kultur.</w:t>
      </w:r>
    </w:p>
    <w:p>
      <w:r>
        <w:t xml:space="preserve">Der regionale Planungsträger kann jederzeit von der Regionalplanungsbehörde Auskunft über Stand und Vorbereitung dieser Planungen, über Programme und Maßnahmen sowie über regional bedeutsame Entwicklungen verlangen; er hat dem Antrag eines Fünftels seiner stimmberechtigten Mitglieder auf Auskunft stattzugegeben.</w:t>
      </w:r>
    </w:p>
    <w:p>
      <w:r>
        <w:t xml:space="preserve">(3) Der regionale Planungsträger kann auf der Grundlage des Landesentwicklungsplans und der Regionalpläne Vorschläge für Förderprogramme und -maßnahmen von regionaler Bedeutung unterbreiten. Dabei sind Vorschläge aus der Region zu berücksichtigen, zusammenzuführen und zu bewerten; der regionale Planungsträger nimmt eine Prioritätensetzung vor. Weicht das zuständige Ministerium von diesen Vorschlägen ab, ist dies im Einzelnen zu begründen.</w:t>
      </w:r>
    </w:p>
    <w:p>
      <w:r>
        <w:t xml:space="preserve">(4) Der regionale Planungsträger beschließt auf der Grundlage des Landesentwicklungsplans und der Regionalpläne über die Vorschläge der Region für die Verkehrsinfrastrukturplanung (gesetzliche Bedarfs- und Ausbaupläne des Bundes und des Landes) sowie für die jährlichen Ausbauprogramme für Landesstraßen und Radschnellverbindungen des Landes sowie Förderprogramme für die kommunale Infrastruktur. Der regionale Planungsträger wird über die Förderprogramme der Nahmobilität informiert. Die Regionalplanungsbehörde informiert den regionalen Planungsträger über Landesstraßen und Radschnellverbindungen des Landes betreffende Pläne und Programme sowie über die Definition des landesweiten Radvorrangnetzes und frühzeitig über die Absicht, derartige Pläne oder Programme aufzustellen oder zu ändern. Die Regionalplanungsbehörde stellt dem regionalen Planungsträger die hierzu erforderlichen Unterlagen zur Verfügung und erteilt auf Verlangen jederzeit Auskunft über den Stand und die Vorbereitung der Pläne und Programme. Weicht das für den Verkehr zuständige Ministerium von den Vorschlägen des regionalen Planungsträgers ab, ist dies in einer Stellungnahme zu begründen. Die regionalen Planungsträger legen für den Um- und Ausbau von Landesstraßen bis zu 3 Millionen Euro Gesamtkosten je Maßnahme nach Lage des Landeshaushalts innerhalb eines Monats nach Information Prioritäten fest.</w:t>
      </w:r>
    </w:p>
    <w:p>
      <w:r>
        <w:t xml:space="preserve">(5) Der regionaler Planungsträger berät die Landesplanungsbehörde und wirkt durch Beratung der Gemeinden und Gemeindeverbände darauf hin, dass die Ziele der Raumordnung beachtet sowie die Grundsätze und sonstigen Erfordernisse der Raumordnung berücksichtigt werden.</w:t>
      </w:r>
    </w:p>
    <w:p>
      <w:r>
        <w:rPr>
          <w:color w:val="555555"/>
          <w:sz w:val="17"/>
        </w:rPr>
        <w:t xml:space="preserve">Zitiervorschlag: § 9 NW_28955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https://recht.nulegal.eu/gesetze/NW_28955/9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