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NW_28955 (Nordrhein-Westfalen) — Stimmberechtigte Mitglieder des Regionalrates</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stimmberechtigten Mitglieder der Regionalräte werden zu zwei Drittel durch die Vertretungen der kreisfreien Städte und Kreise gewählt, zu einem Drittel aus Reservelisten berufen. Maßgeblich für die Sitzverteilung ist die Summe der in den kreisfreien Städten und in den kreisangehörigen Gemeinden des Gebietes des jeweiligen Regionalrates bei den Wahlen zu den Gemeindevertretungen abgegebenen Stimmen.</w:t>
      </w:r>
    </w:p>
    <w:p>
      <w:r>
        <w:t xml:space="preserve">(2) Es wählen</w:t>
      </w:r>
    </w:p>
    <w:p>
      <w:r>
        <w:t xml:space="preserve">1. die kreisfreien Städte je angefangene 200.000 Einwohner ein Mitglied des Regionalrates;</w:t>
      </w:r>
    </w:p>
    <w:p>
      <w:r>
        <w:t xml:space="preserve">2. die Kreise für die kreisangehörigen Gemeinden des Kreises insgesamt so viele Mitglieder des Regionalrates, wie sich nach der Berechnung nach Nummer 1 für kreisfreie Städte ergeben würden.</w:t>
      </w:r>
    </w:p>
    <w:p>
      <w:r>
        <w:t xml:space="preserve">Für die Städteregion Aachen gilt Satz 1 entsprechend. Ist für die kreisangehörigen Gemeinden eines Kreises mehr als ein Mitglied des Regionalrates zu wählen, so soll mindestens ein Mitglied der Gruppe der Gemeinden bis zu 25 000 Einwohnern und ein Mitglied der Gruppe der Gemeinden über 25 000 Einwohner angehören. Sind für eine kreisfreie Stadt oder für die kreisangehörigen Gemeinden eines Kreises mehrere Mitglieder des Regionalrates zu wählen, so gelten dafür die Grundsätze der Verhältniswahl.</w:t>
      </w:r>
    </w:p>
    <w:p>
      <w:r>
        <w:t xml:space="preserve">(3) Die Sitzzahl der Regionalräte wird von der Bezirksregierung errechnet. Sie ist die Zahl der durch die Vertretungen der kreisfreien Städte und Kreise zu wählenden Mitglieder des Regionalrates erweitert um die Hälfte dieser Zahl. Bei der Berechnung sind Bruchteile auf ganze Zahlen aufzurunden.</w:t>
      </w:r>
    </w:p>
    <w:p>
      <w:r>
        <w:t xml:space="preserve">(4) Die nach Absatz 2 gewählten Mitglieder des Regionalrates müssen in der kreisfreien Stadt oder in dem Kreis, von dem sie gewählt werden, ihre Wohnung, bei mehreren Wohnungen ihre Hauptwohnung haben. Es gelten die Vorschriften für die Wählbarkeit des Kommunalwahlgesetzes entsprechend. Jedes zu wählende Mitglied des Regionalrates ist derjenigen Partei oder zugelassenen Wählergruppe anzurechnen, die es zur Wahl vorgeschlagen hat. Verbundene Wahlvorschläge sind nicht zulässig.</w:t>
      </w:r>
    </w:p>
    <w:p>
      <w:r>
        <w:t xml:space="preserve">(5) Eine Partei oder Wählergruppe wird zur Sitzverteilung nur zugelassen, wenn sie als solche in mehr als einer Gemeinde vertreten ist und über eine für den Regierungsbezirk zuständige einheitliche Leitung verfügt.</w:t>
      </w:r>
    </w:p>
    <w:p>
      <w:r>
        <w:t xml:space="preserve">(6) Wird ein Mitglied des Regionalrates aufgrund eines Vorschlages einer Partei oder Wählergruppe gewählt, die nicht an der Sitzverteilung des Regionalrates nach Absatz 7 teilnimmt, so verringert sich die zu verteilende Sitzzahl entsprechend.</w:t>
      </w:r>
    </w:p>
    <w:p>
      <w:r>
        <w:t xml:space="preserve">(7) Die Sitze für die stimmberechtigten Mitglieder des Regionalrates werden von der Bezirksregierung auf die Parteien und Wählergruppen, die in den Gemeindevertretungen vertreten sind, verteilt. Hierzu werden die von den einzelnen Parteien und Wählergruppen bei den Gemeindewahlen im Gebiet des jeweiligen Regionalrates erzielten gültigen Stimmen zusammengezählt. Die den Parteien und Wählergruppen noch zustehenden Sitze werden aus Reservelisten zugeteilt. Die Reihenfolge der Sitzzuteilung für die einzelne Partei oder Wählergruppe bestimmt sich nach der von ihr eingereichten Reserveliste. Jede Partei oder Wählergruppe erhält zunächst so viele Sitze, wie ganze Zahlen auf sie entfallen. Danach zu vergebende Sitze sind in der Reihenfolge der höchsten Zahlenbruchteile zuzuteilen. Die nach Absatz 7 gewählten Mitglieder müssen in dem Gebiet des Regionalrates ihre Wohnung, bei mehreren Wohnungen ihre Hauptwohnung haben.</w:t>
      </w:r>
    </w:p>
    <w:p>
      <w:r>
        <w:t xml:space="preserve">Für die Wählbarkeit gelten die Vorschriften des Kommunalwahlgesetzes entsprechend.</w:t>
      </w:r>
    </w:p>
    <w:p>
      <w:r>
        <w:t xml:space="preserve">(8) Entspricht die Sitzverteilung im Regionalrat aufgrund von Absatz 7 nicht dem Ergebnis, das sich bei einer Sitzverteilung nach dem Verfahren der mathematischen Proportion auf der Grundlage der von den Parteien und Wählergruppen bei den Gemeindewahlen erzielten gültigen Stimmen ergeben würde, so ist eine neue Ausgangszahl für die Verteilung weiterer Sitze (Verhältnisausgleich) zu bilden. Dazu wird die Zahl der nach Absatz 7 errungenen Sitze derjenigen Partei oder Wählergruppe, die das günstigste Verhältnis der Sitze zu der auf sie entfallenen Stimmenzahl erreicht hat, mit der Gesamtzahl der gültigen Stimmen vervielfältigt und durch die Stimmenzahl dieser Partei oder Wählergruppe geteilt. Bei der Rundung sind Zahlenbruchteile unter 0,5 auf die darunter liegende Zahl abzurunden und Zahlenbruchteile ab 0,5 auf die darüber liegende Zahl aufzurunden. Aufgrund der neuen Ausgangszahl werden für die Parteien und Wählergruppen nach dem Verfahren der mathematischen Proportion neue Zuteilungszahlen errechnet und ihnen die an diesen Zahlen noch fehlenden Sitze aus den Reservelisten in der sich nach Absatz 7 ergebenden Reihenfolge zugewiesen. Dabei werden Bewerberinnen und Bewerber, die bereits nach Absatz 7 gewählt worden sind, nicht berücksichtigt. Bei den Berechnungen nach den Sätzen 1 bis 3 bleiben die Stimmenzahlen solcher Parteien und Wählergruppen außer Betracht, für die keine nach Absatz 9 bestätigte Reserveliste eingereicht worden ist. Sie nehmen am Verhältnisausgleich nicht teil.</w:t>
      </w:r>
    </w:p>
    <w:p>
      <w:r>
        <w:t xml:space="preserve">(9) Die Reserveliste ist von der für den Regierungsbezirk zuständigen Leitung der Partei oder Wählergruppe bis spätestens zehn Wochen nach Beginn der Wahlperiode der Gemeindevertretungen der Bezirksregierung einzureichen. Die Bezirksregierung hat innerhalb von zwei weiteren Wochen die Reserveliste zu bestätigen; äußert sie sich innerhalb dieser Frist nicht, so gilt die Reserveliste als bestätigt. Die Reserveliste kann im Laufe der allgemeinen Wahlperiode ergänzt werden, die Ergänzung bedarf der Bestätigung durch die Bezirksregierung.</w:t>
      </w:r>
    </w:p>
    <w:p>
      <w:r>
        <w:t xml:space="preserve">(10) Der Regionalrat tritt spätestens innerhalb von sechzehn Wochen nach Beginn der Wahlperiode der Gemeindevertretungen zusammen. Diese Sitzung wird vom bisherigen Vorsitzenden des Regionalrates einberufen.</w:t>
      </w:r>
    </w:p>
    <w:p>
      <w:r>
        <w:t xml:space="preserve">(11) Die Mitglieder des Regionalrates werden für die Dauer der allgemeinen Wahlperiode der Vertretungen der Gemeinden gewählt oder berufen. Die Mitglieder üben ihr Amt nach Ablauf der Zeit, für die sie gewählt oder berufen sind, bis zum Amtsantritt der neu gewählten oder berufenen Mitglieder weiter aus. Die Mitgliedschaft im Regionalrat erlischt, wenn die Voraussetzungen für die Wahl oder Berufung des Mitglieds wegfallen; dies gilt ebenfalls, wenn die Vertretung des Kreises oder der kreisfreien Stadt, von der das Mitglied gewählt worden ist, neu zu wählen ist. Von einem Wohnsitzwechsel eines berufenen Mitglieds innerhalb des Regierungsbezirks bleibt die Mitgliedschaft im Regionalrat unberührt.</w:t>
      </w:r>
    </w:p>
    <w:p>
      <w:r>
        <w:t xml:space="preserve">(12) Scheidet ein gewähltes Mitglied aus dem Regionalrat aus oder ist seine Wahl rechtsunwirksam, so findet insoweit unverzüglich eine Ersatzwahl statt. Die Fehlerhaftigkeit der Wahl einzelner Mitglieder berührt nicht die Wirksamkeit der Wahl der übrigen Mitglieder. Liegt der Grund des Ausscheidens in der Person des Mitglieds, so steht das Vorschlagsrecht der Partei oder Wählergruppe zu, der das ausgeschiedene oder nicht rechtswirksam gewählte Mitglied zugerechnet worden ist. Beim Ausscheiden eines berufenen Mitglieds rückt auf Vorschlag der betroffenen Partei oder Wählergruppe eine Listenbewerberin oder ein Listenbewerber aus der Reserveliste nach; der Vorschlag bedarf der Bestätigung durch die Bezirksregierung. Absatz 7 findet entsprechende Anwendung.</w:t>
      </w:r>
    </w:p>
    <w:p>
      <w:r>
        <w:t xml:space="preserve">(13) Finden in den Gemeinden oder Kreisen Wiederholungswahlen statt oder werden im Laufe der Wahlperiode einzelne Vertretungen der Gemeinden oder Kreise neu gewählt, so sind die Sitze nach Absatz 7 unter Berücksichtigung der bei der Wiederholungswahl oder bei der Neuwahl erzielten gültigen Stimmen neu zu verteilen. Werden die Grenzen eines Regierungsbezirks geändert, so hat die Bezirksregierung die Sitzzahl und die Sitzverteilung nach den Absätzen 2 und 7 neu zu bestimmen. Soweit Sitze neu zu verteilen sind, verlieren die bisherigen Mitglieder ihren Sitz spätestens im Zeitpunkt der Neuverteilung nach Absatz 7.</w:t>
      </w:r>
    </w:p>
    <w:p>
      <w:r>
        <w:rPr>
          <w:color w:val="555555"/>
          <w:sz w:val="17"/>
        </w:rPr>
        <w:t xml:space="preserve">Zitiervorschlag: § 7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