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NW_28955 (Nordrhein-Westfalen) — Untersagung raumbedeutsamer Planungen und Maßnahmen; Entschädigung</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Landesplanungsbehörde kann im Einvernehmen mit den fachlich zuständigen Landesministerien raumbedeutsame Planungen und Maßnahmen sowie die Entscheidung über deren Zulässigkeit gegenüber den in § 4 Raumordnungsgesetz genannten öffentlichen Stellen untersagen, und zwar</w:t>
      </w:r>
    </w:p>
    <w:p>
      <w:r>
        <w:t xml:space="preserve">1. unbefristet, wenn Ziele der Raumordnung entgegenstehen,</w:t>
      </w:r>
    </w:p>
    <w:p>
      <w:r>
        <w:t xml:space="preserve">2. befristet, wenn sich ein Raumordnungsplan in Aufstellung befindet und zu befürchten ist, dass die Planung oder Maßnahme die Verwirklichung der vorgesehenen Ziele der Raumordnung unmöglich machen oder wesentlich erschweren würde.</w:t>
      </w:r>
    </w:p>
    <w:p>
      <w:r>
        <w:t xml:space="preserve">Der regionale Planungsträger ist über die Entscheidung der Landesplanungsbehörde zu unterrichten.</w:t>
      </w:r>
    </w:p>
    <w:p>
      <w:r>
        <w:t xml:space="preserve">(2) Die Bezirksregierungen können unter den Voraussetzungen des § 12 des Raumordnungsgesetzes die zuständige Genehmigungsbehörde anweisen, die Entscheidung über die Zulässigkeit baulicher Anlagen im Einzelfall auszusetzen.</w:t>
      </w:r>
    </w:p>
    <w:p>
      <w:r>
        <w:t xml:space="preserve">(3) Die Bezirksregierungen können die Genehmigungsbehörde im Einzelfall anweisen, die Entscheidung über die Zulässigkeit von Vorhaben der Windenergie im Sinne des § 35 Absatz 1 Nr. 5 des Baugesetzbuchs auszusetzen, wenn sich ein Raumordnungsplan in Aufstellung befindet oder geändert wird, um den Flächenbeitragswert im Sinne des § 3 Absatz 1 Windenergieflächenbedarfsgesetzes oder eines daraus abgeleiteten Teilflächenziels zu erreichen, und zu befürchten ist, dass die Durchführung der Planung durch das Vorhaben unmöglich gemacht oder wesentlich erschwert werden würde. Die Anweisung der Bezirksregierung nach Satz 1 ist bei Vorhaben, die zum 12. Juni 2024 bereits beantragt waren, ein Jahr nach Eingang der vollständigen Genehmigungsunterlagen bei der Genehmigungsbehörde zulässig. Dies gilt nicht, wenn bis zum 2. Juni 2023 vollständige Genehmigungsunterlagen bei der Genehmigungsbehörde vorlagen. Für nach dem 12. Juni 2024 beantragte Vorhaben ist die Anweisung der Bezirksregierung innerhalb von sechs Monaten zulässig, nachdem die Bezirksregierung von dem Vorhaben in einem Verwaltungsverfahren förmlich Kenntnis erhalten hat. Die Entscheidung über die Zulässigkeit von Vorhaben kann für ein Jahr, bei Vorliegen besonderer Umstände höchstens um ein weiteres Jahr, längstens bis zum 31. Dezember 2025 ausgesetzt werden. Die Befugnis zur Aussetzung gilt nicht für Repowering-Vorhaben im Sinne des § 16b Absatz 1 und 2 des Bundes-Immissionsschutzgesetzes in der Fassung der Bekanntmachung vom 17. Mai 2013 (BGBl. I S. 1274; 2021 I S. 123), das zuletzt durch Artikel 11 des Gesetzes vom 26. Juli 2023 (BGBl. 2023 I Nr. 202) geändert worden ist.</w:t>
      </w:r>
    </w:p>
    <w:p>
      <w:r>
        <w:t xml:space="preserve">(4) Übersteigt die Dauer einer Untersagung nach Absatz 1, Absatz 2 oder Absatz 3 in Verbindung mit einer Veränderungssperre nach § 14 Baugesetzbuch, einer Zurückstellung von Baugesuchen nach § 15 Baugesetzbuch oder einer entsprechenden Untersagung aufgrund anderer Rechtsvorschriften einen Zeitraum von insgesamt vier Jahren, so hat das Land den Betroffenen für dadurch entstandene Vermögensnachteile eine angemessene Entschädigung in Geld zu leisten. Die Vorschriften über die Entschädigung im Zweiten Abschnitt des Fünften Teiles des Baugesetzbuches gelten sinngemäß.</w:t>
      </w:r>
    </w:p>
    <w:p>
      <w:r>
        <w:t xml:space="preserve">(5) Muss der Träger einer nach Absatz 1 untersagten Planung oder Maßnahme einen Dritten entschädigen, so erstattet ihm das Land die aus der Erfüllung der Entschädigungsansprüche entstehenden notwendigen Aufwendungen. Die Ersatzleistung ist ausgeschlossen, soweit die Untersagung von dem Planungs- oder Maßnahmeträger verschuldet ist oder ihm aus Anlass der Untersagung aus anderen Rechtsgründen Entschädigungsansprüche zustehen.</w:t>
      </w:r>
    </w:p>
    <w:p>
      <w:r>
        <w:t xml:space="preserve">(6) Dient die Untersagung ausschließlich oder vorwiegend dem Interesse eines Begünstigten, so kann das Land von ihm die Übernahme der sich aus den Absätzen 4 und 5 ergebenden Entschädigungspflichten verlangen, wenn er der Untersagung zugestimmt hat.</w:t>
      </w:r>
    </w:p>
    <w:p>
      <w:r>
        <w:t xml:space="preserve">(7) Ist aufgrund einer Untersagung nach Absatz 2 oder Absatz 3 einem Dritten Entschädigung zu gewähren, so gelten die Regelungen der Absätze 5 und 6 entsprechend.</w:t>
      </w:r>
    </w:p>
    <w:p>
      <w:r>
        <w:rPr>
          <w:color w:val="555555"/>
          <w:sz w:val="17"/>
        </w:rPr>
        <w:t xml:space="preserve">Zitiervorschlag: § 36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