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NW_28955 (Nordrhein-Westfalen) — Kommunales Planungsgebot und Entschädigung</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kann verlangen, dass die Gemeinden ihre Bauleitpläne den Zielen der Raumordnung anpassen.</w:t>
      </w:r>
    </w:p>
    <w:p>
      <w:r>
        <w:t xml:space="preserve">(2) Die Landesregierung kann verlangen, dass die Gemeinden Bauleitpläne entsprechend den Zielen der Raumordnung aufstellen, wenn dies zur Verwirklichung von Planungen mit hervorragender Bedeutung für die allgemeine Landesentwicklung oder überörtliche Wirtschaftsstruktur erforderlich ist; die betroffenen Flächen müssen auf der Grundlage eines Landesentwicklungsplanes in Regionalplänen dargestellt sein. Vor der Entscheidung der Landesregierung ist den betroffenen regionalen Planungsträgern und Gemeinden Gelegenheit zur Stellungnahme zu geben.</w:t>
      </w:r>
    </w:p>
    <w:p>
      <w:r>
        <w:t xml:space="preserve">(3) Muss eine Gemeinde einen Dritten gemäß §§ 39 bis 44 Baugesetzbuch entschädigen, weil sie einen rechtswirksamen Bebauungsplan aufgrund rechtsverbindlich aufgestellter Ziele der Raumordnung auf Verlangen nach Absatz 1 oder Absatz 2 aufgestellt, geändert oder aufgehoben hat, so ist ihr vom Land Ersatz zu leisten.</w:t>
      </w:r>
    </w:p>
    <w:p>
      <w:r>
        <w:t xml:space="preserve">(4) Ist eine Gemeinde Eigentümerin eines Grundstückes, so kann sie in Fällen der Absätze 1 und 2 vom Land eine angemessene Entschädigung in Geld verlangen, soweit Aufwendungen für Vorbereitungen zur Nutzung des Grundstücks an Wert verlieren, die im Vertrauen auf den Bestand der bisherigen Raumordnungsplanung gemacht wurden. Ihr sind außerdem die Aufwendungen für Erschließungsanlagen zu ersetzen, soweit sie infolge der Anpassung oder Aufstellung der Bauleitpläne nach Absatz 1 oder Absatz 2 nicht mehr erforderlich sind. Verwaltungskosten sind nicht zu erstatten.</w:t>
      </w:r>
    </w:p>
    <w:p>
      <w:r>
        <w:t xml:space="preserve">(5) Eine Gemeinde, die die Voraussetzungen des Absatz 1 oder Absatz 2 als erfüllt ansieht, ist berechtigt, eine förmliche Entscheidung der Landesregierung im Sinne dieser Vorschriften zu beantragen.</w:t>
      </w:r>
    </w:p>
    <w:p>
      <w:r>
        <w:t xml:space="preserve">(6) Eine Gemeinde kann eine Ersatzleistung oder Entschädigung nicht beanspruchen, wenn sie die Regionalplanungsbehörde nicht gemäß § 34 Abs. 1 rechtzeitig von ihrer Planungsabsicht unterrichtet hat oder soweit sie von einem durch die Änderung der Bauleitplanung Begünstigten Ersatz verlangen kann.</w:t>
      </w:r>
    </w:p>
    <w:p>
      <w:r>
        <w:t xml:space="preserve">(7) Wird das Planungsgebot ausschließlich oder vorwiegend im Interesse eines Begünstigten ausgesprochen, so kann das Land von ihm die Übernahme der sich aus den Absätzen 3 und 4 ergebenden Entschädigungspflichten verlangen.</w:t>
      </w:r>
    </w:p>
    <w:p>
      <w:r>
        <w:rPr>
          <w:color w:val="555555"/>
          <w:sz w:val="17"/>
        </w:rPr>
        <w:t xml:space="preserve">Zitiervorschlag: § 35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