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NW_28955 (Nordrhein-Westfalen) — Beratung der Gemeinden zur Anpassung der Bauleitplanung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Anpassung der Bauleitplanung an die Ziele der Raumordnung kann die Gemeinde bei der Aufstellung oder Änderung eines Bauleitplanes unter Vorlage der erforderlichen Planunterlagen bei der Regionalplanungsbehörde anfragen, welche Ziele der Raumordnung für den Planungsbereich bestehen.</w:t>
      </w:r>
    </w:p>
    <w:p>
      <w:r>
        <w:t xml:space="preserve">(2) Äußert sich die Regionalplanungsbehörde nicht innerhalb von einem Monat auf die Anfrage der Gemeinde, so kann die Gemeinde davon ausgehen, dass raumordnungsrechtliche Bedenken auf der Basis des aus den vorgelegten Unterlagen ersichtlichen Planungsstandes nicht erhoben werden.</w:t>
      </w:r>
    </w:p>
    <w:p>
      <w:r>
        <w:rPr>
          <w:color w:val="555555"/>
          <w:sz w:val="17"/>
        </w:rPr>
        <w:t xml:space="preserve">Zitiervorschlag: § 34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