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30 NW_28955 (Nordrhein-Westfalen) — Änderung von Braunkohlenplänen und Zielabweichungsverfahren</w:t>
      </w:r>
    </w:p>
    <w:p>
      <w:r>
        <w:rPr>
          <w:color w:val="555555"/>
          <w:sz w:val="18"/>
        </w:rPr>
        <w:t xml:space="preserve">Landesplanungsgesetz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Braunkohlenplan muss überprüft und erforderlichenfalls geändert werden, wenn die Grundannahmen für den Braunkohlenplan sich wesentlich ändern. Für das Verfahren zur Änderung des Braunkohlenplans gelten die §§ 27 bis 29 entsprechend; dies gilt auch in Fällen, in denen die Änderung des Braunkohlenplans nicht auf Anregung des Bergbautreibenden durchführt wird. Als wesentliche Änderungen der Grundannahmen gelten insbesondere Entscheidungen der Landesregierung, die Nutzung der Braunkohle geordnet zu beenden und eine geordnete Gewinnung bis zum Zeitpunkt der Beendigung sicherzustellen.</w:t>
      </w:r>
    </w:p>
    <w:p>
      <w:r>
        <w:t xml:space="preserve">(2) In entsprechender Anwendung des § 16 ist für das Zielabweichungsverfahren bei Braunkohlenplänen die Regionalplanungsbehörde Köln zuständig. Sie entscheidet im Benehmen mit den fachlich betroffenen öffentlichen Stellen sowie den von der Abweichung betroffenen Belegenheitsgemeinden und im Einvernehmen mit dem Braunkohlenausschuss.</w:t>
      </w:r>
    </w:p>
    <w:p>
      <w:r>
        <w:t xml:space="preserve">(3) Die Regionalplanungsbehörde Köln kann in entsprechender Anwendung des § 16 Abweichungen des Betriebsplans von den Festlegungen des Braunkohlenplans zulassen, wenn die Abweichung unter raumordnerischen Gesichtspunkten vertretbar ist und die Grundzüge des Braunkohlenplans nicht berührt werden. Sie entscheidet im Benehmen mit den fachlich betroffenen öffentlichen Stellen und den von der Abweichung betroffenen Belegenheitsgemeinden, sowie im Einvernehmen mit dem Braunkohlenausschuss. Antragsberechtigt ist auch der Bergbautreibende.</w:t>
      </w:r>
    </w:p>
    <w:p>
      <w:r>
        <w:rPr>
          <w:color w:val="555555"/>
          <w:sz w:val="17"/>
        </w:rPr>
        <w:t xml:space="preserve">Zitiervorschlag: § 30 NW_28955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https://recht.nulegal.eu/gesetze/NW_28955/30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30 NW_28955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