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29 NW_28955 (Nordrhein-Westfalen) — Genehmigung</w:t>
      </w:r>
    </w:p>
    <w:p>
      <w:r>
        <w:rPr>
          <w:color w:val="555555"/>
          <w:sz w:val="18"/>
        </w:rPr>
        <w:t xml:space="preserve">Landesplanungsgesetz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Braunkohlenpläne bedürfen der Genehmigung der Landesplanungsbehörde im Einvernehmen mit den fachlich zuständigen Landesministerien und im Benehmen mit dem für die Landesplanung zuständigen Ausschuss des Landtages. Zur Herstellung des Benehmens leitet die Landesregierung den Entwurf der Genehmigung dem Landtag mit einem Bericht über das Genehmigungsverfahren zu. Teile des Braunkohlenplanes können vorweg genehmigt werden; es können Teile des Braunkohlenplanes von der Genehmigung ausgenommen werden.</w:t>
      </w:r>
    </w:p>
    <w:p>
      <w:r>
        <w:t xml:space="preserve">(2) Die Genehmigung der Braunkohlenpläne ist nur zu erteilen, wenn sie den in dem Landesentwicklungsplan festgelegten Erfordernissen der Raumordnung zur Sicherung einer langfristigen Energieversorgung entsprechen und die Erfordernisse der sozialen Belange der vom Braunkohlentagebau Betroffenen und des Umweltschutzes angemessen berücksichtigen.</w:t>
      </w:r>
    </w:p>
    <w:p>
      <w:r>
        <w:t xml:space="preserve">(3) Die Braunkohlenpläne sollen vor Beginn eines Abbauvorhabens im Braunkohlenplangebiet aufgestellt und genehmigt sein. Die Betriebspläne der im Braunkohlenplangebiet gelegenen bergbaulichen Betriebe sind mit den Braunkohlenplänen in Einklang zu bringen.</w:t>
      </w:r>
    </w:p>
    <w:p>
      <w:r>
        <w:rPr>
          <w:color w:val="555555"/>
          <w:sz w:val="17"/>
        </w:rPr>
        <w:t xml:space="preserve">Zitiervorschlag: § 29 NW_28955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https://recht.nulegal.eu/gesetze/NW_28955/29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