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NW_28955 (Nordrhein-Westfalen) — Umweltverträglichkeit und Sozialverträglichkeit</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ein betriebsplanpflichtiges Vorhaben zum Abbau von Braunkohle einschließlich Haldenflächen, das nach der Verordnung über die Umweltverträglichkeitsprüfung bergbaulicher Vorhaben vom 13. Juli 1990 (BGBl. I S. 1420) in der jeweils geltenden Fassung einer Umweltverträglichkeitsprüfung bedarf, und für die wesentlichen Änderungen eines solchen Vorhabens, wenn die Änderung erhebliche Auswirkungen auf die Umwelt haben kann, werden die Umweltprüfung und die Umweltverträglichkeitsprüfung in einem gemeinsamen Verfahren durchgeführt, sofern der Braunkohlenausschuss dies beschließt.</w:t>
      </w:r>
    </w:p>
    <w:p>
      <w:r>
        <w:t xml:space="preserve">(2) Sobald der Bergbautreibende den Braunkohlenausschuss über das geplante Abbauvorhaben unterrichtet hat, soll die Regionalplanungsbehörde Köln mit ihm Gegenstand, Umfang und Methoden der Umweltprüfung, der Umweltverträglichkeitsprüfung und der Prüfung der Sozialverträglichkeit erörtern. Hierzu werden andere Behörden, Sachverständige und Dritte hinzugezogen. Die Regionalplanungsbehörde soll den Bergbautreibenden über den voraussichtlichen Untersuchungsrahmen sowie über Art und Umfang der voraussichtlich beizubringenden Unterlagen unterrichten.</w:t>
      </w:r>
    </w:p>
    <w:p>
      <w:r>
        <w:t xml:space="preserve">(3) Bevor der Braunkohlenausschuss die Regionalplanungsbehörde mit der Erarbeitung eines Vorentwurfes für einen Braunkohlenplan beauftragt, der ein Abbauvorhaben betrifft, hat der Bergbautreibende der Regionalplanungsbehörde Köln die für die überschlägige Beurteilung der Umweltverträglichkeit und der Sozialverträglichkeit erforderlichen Unterlagen vorzulegen.</w:t>
      </w:r>
    </w:p>
    <w:p>
      <w:r>
        <w:t xml:space="preserve">(4) Die Unterlagen hinsichtlich der Umweltverträglichkeitsprüfung müssen mindestens die in § 57a Abs. 2 Sätze 2 und 3 Bundesberggesetz und in § 2 UVP-V Bergbau genannten Angaben enthalten. Dazu gehören auch Angaben zur Notwendigkeit und Größenordnung von Umsiedlungen und Räumen, in denen Verkehrswege, Bahnen aller Art, Energie- und Wasserleitungen angelegt oder verlegt werden können. Eine allgemeinverständliche Zusammenfassung ist beizufügen.</w:t>
      </w:r>
    </w:p>
    <w:p>
      <w:r>
        <w:t xml:space="preserve">(5) Für die überschlägige Beurteilung der Sozialverträglichkeit müssen bei Braunkohlenplänen, die ein Abbauvorhaben betreffen, die Antragsunterlagen Angaben über die Notwendigkeit, die Größenordnung, die Zeiträume und die überörtlichen Auswirkungen der Umsiedlung enthalten.</w:t>
      </w:r>
    </w:p>
    <w:p>
      <w:r>
        <w:t xml:space="preserve">(6) Bei Braunkohlenplänen, die die Festlegung von Umsiedlungsstandorten zum Gegenstand haben, muss eine Umweltprüfung und die Prüfung der Sozialverträglichkeit erfolgen. Die Unterlagen zur Prüfung der Sozialverträglichkeit müssen folgende Angaben enthalten:</w:t>
      </w:r>
    </w:p>
    <w:p>
      <w:r>
        <w:t xml:space="preserve">1. Vorstellungen zum Umsiedlungsstandort,</w:t>
      </w:r>
    </w:p>
    <w:p>
      <w:r>
        <w:t xml:space="preserve">2. Darstellung der vorhandenen Sozialstruktur und der dafür bedeutsamen Infrastruktur in den betroffenen Ortschaften,</w:t>
      </w:r>
    </w:p>
    <w:p>
      <w:r>
        <w:t xml:space="preserve">3. Beschreibung der möglichen wesentlichen Auswirkungen auf die Betroffenen, insbesondere Erwerbs- und Berufsverhältnisse, Wohnbedürfnisse, soziale Verflechtungen sowie die örtlichen Bindungen der Betroffenen,</w:t>
      </w:r>
    </w:p>
    <w:p>
      <w:r>
        <w:t xml:space="preserve">4. Vorstellungen zur Vermeidung oder Minderung von nachteiligen Auswirkungen vor, während und nach der Umsiedlung sowohl für die Altorte als auch für die Umsiedlungsstandorte; dabei sollen insbesondere die einzelnen Bevölkerungsgruppen und Wirtschaftszweige berücksichtigt werden.</w:t>
      </w:r>
    </w:p>
    <w:p>
      <w:r>
        <w:t xml:space="preserve">(7) Verfügen die beteiligten Behörden oder Gemeinden zu den erforderlichen Angaben über zweckdienliche Informationen, so unterrichten sie den Bergbautreibenden und stellen ihm die Informationen auf Verlangen zur Verfügung.</w:t>
      </w:r>
    </w:p>
    <w:p>
      <w:r>
        <w:rPr>
          <w:color w:val="555555"/>
          <w:sz w:val="17"/>
        </w:rPr>
        <w:t xml:space="preserve">Zitiervorschlag: § 27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NW_28955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