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NW_28955 (Nordrhein-Westfalen) — Organisation des Braunkohlenausschusses</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Braunkohlenausschuss wählt für die Dauer seiner Wahlperiode aus der Mitte der stimmberechtigten Mitglieder unter Leitung des lebensältesten stimmberechtigten Mitgliedes des Braunkohlenausschusses ohne Aussprache seine Vorsitzende oder seinen Vorsitzenden und deren Stellvertreterin oder dessen Stellvertreter. Er kann mehrere Stellvertreterinnen oder Stellvertreter wählen.</w:t>
      </w:r>
    </w:p>
    <w:p>
      <w:r>
        <w:t xml:space="preserve">(2) Der Braunkohlenausschuss gibt sich eine Geschäftsordnung.</w:t>
      </w:r>
    </w:p>
    <w:p>
      <w:r>
        <w:t xml:space="preserve">(3) Zur Bearbeitung seiner Aufgaben nach § 24 kann der Braunkohlenausschuss Arbeitskreise aus seiner Mitte bilden.</w:t>
      </w:r>
    </w:p>
    <w:p>
      <w:r>
        <w:t xml:space="preserve">(4) Die Sitzungen des Braunkohlenausschusses sind öffentlich. Die Öffentlichkeit kann für einzelne Angelegenheiten durch Beschluss des Braunkohlenausschusses ausgeschlossen werden.</w:t>
      </w:r>
    </w:p>
    <w:p>
      <w:r>
        <w:t xml:space="preserve">(5) Die Regionalplanungsbehörde Köln ist Geschäftsstelle des Braunkohlenausschusses.</w:t>
      </w:r>
    </w:p>
    <w:p>
      <w:r>
        <w:rPr>
          <w:color w:val="555555"/>
          <w:sz w:val="17"/>
        </w:rPr>
        <w:t xml:space="preserve">Zitiervorschlag: § 23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