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NW_28955 (Nordrhein-Westfalen) — Inhalt der Regionalpläne</w:t>
      </w:r>
    </w:p>
    <w:p>
      <w:r>
        <w:rPr>
          <w:color w:val="555555"/>
          <w:sz w:val="18"/>
        </w:rPr>
        <w:t xml:space="preserve">Landesplanungsgesetz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Unbeschadet der Regelungen des Raumordnungsgesetzes sind Regionalpläne den geänderten und neuen Zielen der Raumordnung im Landesentwicklungsplan anzupassen.</w:t>
      </w:r>
    </w:p>
    <w:p>
      <w:r>
        <w:t xml:space="preserve">(2) Die Regionalpläne erfüllen die Funktionen eines Landschaftsrahmenplanes und eines forstlichen Rahmenplanes gemäß Naturschutz- und Forstrecht. Sie stellen regionale Erfordernisse und Maßnahmen zur Verwirklichung des Naturschutzes und der Landschaftspflege (Landschaftsrahmenplan) und zur Sicherung des Waldes (forstlicher Rahmenplan) dar.</w:t>
      </w:r>
    </w:p>
    <w:p>
      <w:r>
        <w:rPr>
          <w:color w:val="555555"/>
          <w:sz w:val="17"/>
        </w:rPr>
        <w:t xml:space="preserve">Zitiervorschlag: § 18 NW_28955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https://recht.nulegal.eu/gesetze/NW_28955/18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