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NW_28955 (Nordrhein-Westfalen) — Inhalt und Aufstellung des Landesentwicklungsplanes</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raumbedeutsamen Erfordernisse und Maßnahmen des Naturschutzes und der Landschaftspflege sind nach dem Naturschutzrecht von Bund und Land unter Abwägung mit den anderen raumbedeutsamen Planungen in den Landesentwicklungsplan aufzunehmen. Der Landesentwicklungsplan wird von der Landesplanungsbehörde im Einvernehmen mit den fachlich zuständigen Landesministerien erarbeitet. Nach Durchführung des Aufstellungsverfahrens leitet die Landesregierung die Planentwürfe dem Landtag mit einem Bericht über das Aufstellungsverfahren zu.</w:t>
      </w:r>
    </w:p>
    <w:p>
      <w:r>
        <w:t xml:space="preserve">(2) Der Landesentwicklungsplan wird von der Landesregierung mit Zustimmung des Landtags als Rechtsverordnung beschlossen.</w:t>
      </w:r>
    </w:p>
    <w:p>
      <w:r>
        <w:rPr>
          <w:color w:val="555555"/>
          <w:sz w:val="17"/>
        </w:rPr>
        <w:t xml:space="preserve">Zitiervorschlag: § 17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