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NW_28955 (Nordrhein-Westfalen) — Raumordnung in Nordrhein-Westfalen</w:t>
      </w:r>
    </w:p>
    <w:p>
      <w:r>
        <w:rPr>
          <w:color w:val="555555"/>
          <w:sz w:val="18"/>
        </w:rPr>
        <w:t xml:space="preserve">Landesplanungsgesetz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Vorschriften dieses Gesetzes gelten neben dem Raumordnungsgesetz vom 22. Dezember 2008 (BGBl. I S. 2986) in der jeweils geltenden Fassung im Land Nordrhein-Westfalen und ergänzen es.</w:t>
      </w:r>
    </w:p>
    <w:p>
      <w:r>
        <w:t xml:space="preserve">(2) Die Landes- und Regionalplanung ist nach näherer Bestimmung dieses Gesetzes eine gemeinschaftliche Aufgabe von Staat und Selbstverwaltung, die dem Gegenstromprinzip nach dem Raumordnungsgesetz verpflichtet ist.</w:t>
      </w:r>
    </w:p>
    <w:p>
      <w:r>
        <w:rPr>
          <w:color w:val="555555"/>
          <w:sz w:val="17"/>
        </w:rPr>
        <w:t xml:space="preserve">Zitiervorschlag: § 1 NW_28955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https://recht.nulegal.eu/gesetze/NW_28955/1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