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NW_28954 (Nordrhein-Westfalen) — Verbreitungspflicht des Veranstalters</w:t>
      </w:r>
    </w:p>
    <w:p>
      <w:r>
        <w:rPr>
          <w:color w:val="555555"/>
          <w:sz w:val="18"/>
        </w:rPr>
        <w:t xml:space="preserve">Satzung der Landesanstalt für Medien Nordrhein-Westfalen 'LfM' über das Verfahren bei Rechtsverstößen (§ 118 LMG NRW) - Beanstandungssatzung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Beanstandungen nach § 3 der Satzung können mit der Bestimmung verbunden werden, dass der betroffene Veranstalter diese in seinem Rundfunkprogramm verbreitet.</w:t>
      </w:r>
    </w:p>
    <w:p>
      <w:r>
        <w:t xml:space="preserve">(2) Die Verbreitung der Beanstandung muss unverzüglich ohne Zusätze und Weglassungen auf einem gleichwertigen Sendeplatz und zu einer gleichwertigen Sendezeit wie die beanstandete Sendung erfolgen.</w:t>
      </w:r>
    </w:p>
    <w:p>
      <w:r>
        <w:rPr>
          <w:color w:val="555555"/>
          <w:sz w:val="17"/>
        </w:rPr>
        <w:t xml:space="preserve">Zitiervorschlag: § 4 NW_28954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https://recht.nulegal.eu/gesetze/NW_28954/4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