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NW_28954 (Nordrhein-Westfalen) — Beanstandung von Rechtsverstößen</w:t>
      </w:r>
    </w:p>
    <w:p>
      <w:r>
        <w:rPr>
          <w:color w:val="555555"/>
          <w:sz w:val="18"/>
        </w:rPr>
        <w:t xml:space="preserve">Satzung der Landesanstalt für Medien Nordrhein-Westfalen 'LfM' über das Verfahren bei Rechtsverstößen (§ 118 LMG NRW) - Beanstandungssatzung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Beanstandung von Rechtsverstößen gemäß § 118 Abs. 1 LMG NRW beinhaltet die Feststellung des Rechtsverstoßes und die Anweisung an den Veranstalter, den Rechtsverstoß sofort oder innerhalb einer angemessenen Frist zu beheben oder künftig zu unterlassen.</w:t>
      </w:r>
    </w:p>
    <w:p>
      <w:r>
        <w:t xml:space="preserve">(2) Die Beanstandung nach Absatz 1 kann die Feststellung enthalten, dass es sich um einen schwerwiegenden Verstoß (§ 120 Abs. 1 Nr. 4 LMG NRW) handelt. Maßstab für die Bewertung ist die Art des Verstoßes, seine Nachhaltigkeit sowie die Häufigkeit gleicher oder vergleichbarer Verstöße.</w:t>
      </w:r>
    </w:p>
    <w:p>
      <w:r>
        <w:t xml:space="preserve">(3) Ein schwerwiegender Verstoß kann insbesondere dann vorliegen, wenn der Veranstalter Sendungen entgegen den zwingenden Geboten nach § 31 Abs. 2 bis 5 LMG NRW oder § 35 Abs. 1 LMG NRW in Verbindung mit den Bestimmungen des Jugendmedienschutzstaatsvertrags in der jeweils geltenden Fassung über unzulässige Sendungen und Jugendschutz verbreitet bzw. weiterverbreitet.</w:t>
      </w:r>
    </w:p>
    <w:p>
      <w:r>
        <w:rPr>
          <w:color w:val="555555"/>
          <w:sz w:val="17"/>
        </w:rPr>
        <w:t xml:space="preserve">Zitiervorschlag: § 3 NW_28954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https://recht.nulegal.eu/gesetze/NW_28954/3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