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NW_28953 (Nordrhein-Westfalen)</w:t>
      </w:r>
    </w:p>
    <w:p>
      <w:r>
        <w:rPr>
          <w:color w:val="555555"/>
          <w:sz w:val="18"/>
        </w:rPr>
        <w:t xml:space="preserve">Satzung der Landesanstalt für Medien Nordrhein-Westfalen 'LfM' über das Verfahren bei Programmbeschwerden § 42 LMG NRW - Beschwerdesatzung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März 2005</w:t>
      </w:r>
    </w:p>
    <w:p>
      <w:r>
        <w:t xml:space="preserve">Aufgrund von § 42 Abs. 5 des Landesmediengesetzes Nordrhein-Westfalen (LMG NRW) vom 2. Juli 2002 (GV. NRW. S. 334), zuletzt geändert durch Gesetz vom 30. November 2004 (GV. NRW. S. 770), erlässt die Landesanstalt für Medien Nordrhein-Westfalen (LfM) folgende Satzung:</w:t>
      </w:r>
    </w:p>
    <w:p>
      <w:r>
        <w:rPr>
          <w:color w:val="555555"/>
          <w:sz w:val="17"/>
        </w:rPr>
        <w:t xml:space="preserve">Zitiervorschlag: Volltext NW_28953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