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NW_28924 (Nordrhein-Westfalen) — Berufs- und Betriebszeiten</w:t>
      </w:r>
    </w:p>
    <w:p>
      <w:r>
        <w:rPr>
          <w:color w:val="555555"/>
          <w:sz w:val="18"/>
        </w:rPr>
        <w:t xml:space="preserve">AbgG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Zeit der Mitgliedschaft im Landtag und in der gesetzgebenden Körperschaft eines anderen Landes ist nach Beendigung des Mandats auf die Berufs- und Betriebszugehörigkeit anzurechnen.</w:t>
      </w:r>
    </w:p>
    <w:p>
      <w:r>
        <w:t xml:space="preserve">(2) Im Rahmen einer bestehenden betrieblichen oder überbetrieblichen Altersversorgung wird die Anrechnung nach Absatz 1 nur im Hinblick auf die Erfüllung der Unverfallbarkeitsfristen des § 1 des Gesetzes zur Verbesserung der betrieblichen Altersversorgung vom 19. Dezember 1974 (BGBl. I S. 3610) vorgenommen.</w:t>
      </w:r>
    </w:p>
    <w:p>
      <w:r>
        <w:rPr>
          <w:color w:val="555555"/>
          <w:sz w:val="17"/>
        </w:rPr>
        <w:t xml:space="preserve">Zitiervorschlag: § 4 NW_28924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https://recht.nulegal.eu/gesetze/NW_28924/4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