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NW_28924 (Nordrhein-Westfalen) — Anrechnung von Zeiten für das Übergangsgeld</w:t>
      </w:r>
    </w:p>
    <w:p>
      <w:r>
        <w:rPr>
          <w:color w:val="555555"/>
          <w:sz w:val="18"/>
        </w:rPr>
        <w:t xml:space="preserve">AbgG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Zeiten der Mitgliedschaft im Landtag, die vor In-Kraft-Treten dieses Gesetzes liegen, werden bei der Berechnung des Zeitraumes, für den Übergangsgeld zu zahlen ist, berücksichtigt, soweit nicht die frühere Zeit durch die Gewährung eines Übergangsgeldes bereits abgegolten wurde.</w:t>
      </w:r>
    </w:p>
    <w:p>
      <w:r>
        <w:rPr>
          <w:color w:val="555555"/>
          <w:sz w:val="17"/>
        </w:rPr>
        <w:t xml:space="preserve">Zitiervorschlag: § 30 NW_28924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https://recht.nulegal.eu/gesetze/NW_28924/30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