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NW_28924 (Nordrhein-Westfalen) — Fraktionen; Leistungen an fraktionslose Abgeordnete</w:t>
      </w:r>
    </w:p>
    <w:p>
      <w:r>
        <w:rPr>
          <w:color w:val="555555"/>
          <w:sz w:val="18"/>
        </w:rPr>
        <w:t xml:space="preserve">AbgG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Fraktionen sind Vereinigungen von mindestens fünf Prozent der Mitglieder des Landtags. Einzelheiten über die Rechtsstellung und Finanzierung der Fraktionen werden in einem Fraktionsgesetz geregelt.</w:t>
      </w:r>
    </w:p>
    <w:p>
      <w:r>
        <w:t xml:space="preserve">(2) Abgeordnete, die keiner Fraktion oder Gruppe nach § 10 Fraktionsgesetz angehören, erhalten Leistungen in Höhe von 25 Prozent des Betrages je Fraktionsmitglied in entsprechender Anwendung des § 4 Abs. 1 Satz 1 Fraktionsgesetz. § 3 Absatz 1, 3 und 4, § 4 Absatz 3, die §§ 5 bis 9 sowie § 12 des Fraktionsgesetzes gelten sinngemäß.</w:t>
      </w:r>
    </w:p>
    <w:p>
      <w:r>
        <w:rPr>
          <w:color w:val="555555"/>
          <w:sz w:val="17"/>
        </w:rPr>
        <w:t xml:space="preserve">Zitiervorschlag: § 27 NW_28924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https://recht.nulegal.eu/gesetze/NW_28924/27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NW_28924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