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NW_28924 (Nordrhein-Westfalen) — Versorgungswerk</w:t>
      </w:r>
    </w:p>
    <w:p>
      <w:r>
        <w:rPr>
          <w:color w:val="555555"/>
          <w:sz w:val="18"/>
        </w:rPr>
        <w:t xml:space="preserve">AbgG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Vorsorge für das Alter und zur Unterstützung des überlebenden Ehegatten, des Lebenspartners bzw. der Lebenspartnerin und der Waisen ist für die Abgeordneten des Landtags Nordrhein-Westfalen ein Versorgungswerk am Sitz des Landtags errichtet. Die Rechtsverhältnisse des Versorgungswerks werden durch das Versorgungswerksgesetz NRW vom 16. September 2014 (GV. NRW. S. 544) sowie durch die Satzung des Versorgungswerks in den jeweils geltenden Fassungen geregelt.</w:t>
      </w:r>
    </w:p>
    <w:p>
      <w:r>
        <w:t xml:space="preserve">(2) Die Mitglieder des Landtags Nordrhein-Westfalen sind Pflichtmitglieder im Versorgungswerk. Die Mitgliedschaft im Versorgungswerk endet mit dem Tod des Mitglieds sowie in den Fällen des Absatzes 3 Nummer 4.</w:t>
      </w:r>
    </w:p>
    <w:p>
      <w:r>
        <w:t xml:space="preserve">(3) Das Versorgungswerk erbringt nach Maßgabe dieses Gesetzes und seiner Satzung auf Antrag folgende Leistungen:</w:t>
      </w:r>
    </w:p>
    <w:p>
      <w:r>
        <w:t xml:space="preserve">1. Altersrente,</w:t>
      </w:r>
    </w:p>
    <w:p>
      <w:r>
        <w:t xml:space="preserve">2. Hinterbliebenenrente,</w:t>
      </w:r>
    </w:p>
    <w:p>
      <w:r>
        <w:t xml:space="preserve">3. Überbrückungsgeld,</w:t>
      </w:r>
    </w:p>
    <w:p>
      <w:r>
        <w:t xml:space="preserve">4. Erstattung von Beiträgen als Versorgungsabfindung bzw. Nachversicherung in der gesetzlichen Rentenversicherung entsprechend den Bestimmungen im Abgeordnetengesetz des Deutschen Bundestages.</w:t>
      </w:r>
    </w:p>
    <w:p>
      <w:r>
        <w:t xml:space="preserve">Anstelle der Erstattung der Beiträge wird die Mandatszeit auf Antrag als Dienstzeit im Sinne des Besoldungs- und Versorgungsrechts der Beamten, Richter und Soldaten berücksichtigt.</w:t>
      </w:r>
    </w:p>
    <w:p>
      <w:r>
        <w:t xml:space="preserve">5. Kapitalabfindung für hinterbliebene Ehegatten oder hinterbliebene Lebenspartner und Lebenspartnerinnen, deren Rentenanspruch durch Wiederverheiratung oder Eingehen einer neuen Lebenspartnerschaft erlischt..</w:t>
      </w:r>
    </w:p>
    <w:p>
      <w:r>
        <w:t xml:space="preserve">(4) Jedes Mitglied des Landtags zahlt einen monatlichen Pflichtbeitrag zum Versorgungswerk in Höhe der Abgeordnetenbezüge nach § 5 Absatz 1 Satz 2. Die Beiträge werden von den Abgeordnetenbezügen nach § 5 Absatz 1 einbehalten und an das Versorgungswerk abgeführt. Die Höhe der Altersrente ist von der Dauer der Beitragszahlung sowie dem Lebensalter des Mitglieds zum jeweiligen Zeitpunkt der Zahlung abhängig. Eine Differenzierung der Rentenhöhen nach dem Geschlecht erfolgt nicht. Die Rente wird erst nach dem Ausscheiden aus dem Landtag gewährt; sie ruht bei einer erneuten Mitgliedschaft im Landtag bis zum Ausscheiden.</w:t>
      </w:r>
    </w:p>
    <w:p>
      <w:r>
        <w:t xml:space="preserve">(5) Jedes Mitglied hat nach dem Ausscheiden aus dem Landtag Anspruch auf eine lebenslange Altersrente, sobald es das 67. Lebensjahr vollendet hat, sofern es zu diesem Zeitpunkt mindestens 30 Monate Beiträge in der gemäß Absatz 4 Satz 1 festgelegten Höhe in das Versorgungswerk gezahlt hat und davon mindestens 12 Monate Pflichtbeiträge als Mitglied des Landtags erbracht wurden. Ein Rentenbeginn mit Vollendung des 62. Lebensjahres ist möglich unter Inkaufnahme von Abschlägen. Für Mitgliedschaften, die bis zum 31. Dezember 2011 begonnen haben, wird die Altersrente frühestens vom vollendeten 60. Lebensjahr an gewährt, sofern die sonstigen Voraussetzungen nach Satz 1 erfüllt sind.</w:t>
      </w:r>
    </w:p>
    <w:p>
      <w:r>
        <w:t xml:space="preserve">(6) Hinterbliebenenrenten werden gewährt, wenn das Mitglied zum Zeitpunkt des Todes mindestens Beiträge in dem in Absatz 5 Satz 1 genannten Umfang erbracht hat. Die Witwen- bzw. Witwerrente beträgt 55 Prozent des Rentenanspruchs oder der Rentenanwartschaft, die das Mitglied im Zeitpunkt seines Todes erreicht hat. Die Witwen- bzw. Witwerrente vermindert sich für jedes volle Kalenderjahr, um das der Hinterbliebene mehr als 15 Jahre jünger als das Mitglied ist, um fünf, höchstens jedoch auf 27,5 Prozent. Die Waisenrente beträgt bei Halbwaisen 12 Prozent, bei Vollwaisen 20 Prozent des Rentenanspruchs oder der Rentenanwartschaft, die das Mitglied im Zeitpunkt seines Todes erreicht hat.</w:t>
      </w:r>
    </w:p>
    <w:p>
      <w:r>
        <w:t xml:space="preserve">(7) Eine Anrechnung der Leistungen des Versorgungswerks auf das Ruhegehalt, auf Versorgungs- und Rentenbezüge der Angehörigen des öffentlichen Dienstes findet nicht statt. Bei dem Zusammentreffen von Versorgungsansprüchen nach dem Gesetz über die Rechtsverhältnisse der Mitglieder des Landtags Nordrhein-Westfalen vom 24. April 1979, zuletzt geändert durch Gesetz vom 27. Januar 2004, ggf. zusammen mit Leistungen nach der Satzung der Hilfskasse beim Landtag, und Renten aus dem Versorgungswerk darf ein Betrag von 36,23 Prozent der Abgeordnetenbezüge nach § 5 Absatz 1 nicht überschritten werden. Versorgungsansprüche und Leistungen der Hilfskasse für die Wahrnehmung der Ämter nach § 5 Absatz 2 bleiben unberücksichtigt. Die verbleibenden Versorgungsansprüche werden in Höhe des übersteigenden Betrages gekürzt. Rentenbeträge, die auf freiwilliger Höherversicherung beruhen, bleiben unberücksichtigt. Im Übrigen erfolgt keine Anrechnung anderer Leistungen auf die Renten des Versorgungswerks.</w:t>
      </w:r>
    </w:p>
    <w:p>
      <w:r>
        <w:t xml:space="preserve">(8) Die gesetzlichen und satzungsmäßigen Ansprüche auf Leistungen und Beiträge verjähren in vier Jahren. Die Verjährung beginnt mit dem Ablauf des Jahres, in dem der Anspruch fällig geworden ist. Für die Hemmung, die Unterbrechung und die Wirkungen der Verjährung gelten die Vorschriften des Bürgerlichen Gesetzbuches entsprechend.</w:t>
      </w:r>
    </w:p>
    <w:p>
      <w:r>
        <w:rPr>
          <w:color w:val="555555"/>
          <w:sz w:val="17"/>
        </w:rPr>
        <w:t xml:space="preserve">Zitiervorschlag: § 10 NW_28924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https://recht.nulegal.eu/gesetze/NW_28924/10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NW_28924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