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NW_28881 (Nordrhein-Westfalen) — Stiftungszweck</w:t>
      </w:r>
    </w:p>
    <w:p>
      <w:r>
        <w:rPr>
          <w:color w:val="555555"/>
          <w:sz w:val="18"/>
        </w:rPr>
        <w:t xml:space="preserve">Akkreditierungsratsgesetz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Stiftung dient der Erfüllung der folgenden Aufgaben:</w:t>
      </w:r>
    </w:p>
    <w:p>
      <w:r>
        <w:t xml:space="preserve">1. sie akkreditiert und reakkreditiert Studiengänge und hochschulinterne Qualitätssicherungssysteme sowie andere, mit dem Akkreditierungsrat und dem jeweiligen Land auf Grundlage der Kriterien des Artikel 2 des Studienakkreditierungsstaatsvertrags vom 12. Juni 2017 abgestimmte Verfahren der Qualitätssicherung durch Verleihung des Siegels der Stiftung,</w:t>
      </w:r>
    </w:p>
    <w:p>
      <w:r>
        <w:t xml:space="preserve">2. sie legt unter Berücksichtigung der Entwicklung in Europa die Voraussetzungen für die Anerkennung von Akkreditierungen durch ausländische Einrichtungen fest,</w:t>
      </w:r>
    </w:p>
    <w:p>
      <w:r>
        <w:t xml:space="preserve">3. sie fördert die internationale Zusammenarbeit im Bereich der Akkreditierung und der Qualitätssicherung,</w:t>
      </w:r>
    </w:p>
    <w:p>
      <w:r>
        <w:t xml:space="preserve">4. sie berichtet den Ländern regelmäßig über die Entwicklung des gestuften Studiensystems und über die Qualitätsentwicklung im Rahmen der Akkreditierung,</w:t>
      </w:r>
    </w:p>
    <w:p>
      <w:r>
        <w:t xml:space="preserve">5. sie lässt die Agenturen im Sinne des Artikel 3 Absatz 2 Satz 2 des Studienakkreditierungsstaatsvertrags zu; Voraussetzung für die Zulassung ist der durch die Agentur zu führende Nachweis, dass sie zuverlässig in der Lage ist, die Aufgaben der Begutachtung und der Erstellung des Gutachtens wahrzunehmen; bei den bei dem European Quality Assurance Register for Higher Education (EQAR) registrierten Agenturen wird dies widerlegbar vermutet und</w:t>
      </w:r>
    </w:p>
    <w:p>
      <w:r>
        <w:t xml:space="preserve">6. sie unterstützt die Länder bei der Weiterentwicklung des deutschen Qualitätssicherungssystems und unterbreitet Vorschläge für die nach Artikel 4 des Studienakkreditierungsstaatsvertrags zu erlassenden Rechtsverordnungen.</w:t>
      </w:r>
    </w:p>
    <w:p>
      <w:r>
        <w:rPr>
          <w:color w:val="555555"/>
          <w:sz w:val="17"/>
        </w:rPr>
        <w:t xml:space="preserve">Zitiervorschlag: § 2 NW_28881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https://recht.nulegal.eu/gesetze/NW_28881/2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