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NW_28849 (Nordrhein-Westfalen) — Sondervermögen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Sondervermögen der Gemeinde sind</w:t>
      </w:r>
    </w:p>
    <w:p>
      <w:r>
        <w:t xml:space="preserve">1. das Gemeindegliedervermögen,</w:t>
      </w:r>
    </w:p>
    <w:p>
      <w:r>
        <w:t xml:space="preserve">2. das Vermögen der rechtlich unselbstständigen örtlichen Stiftungen,</w:t>
      </w:r>
    </w:p>
    <w:p>
      <w:r>
        <w:t xml:space="preserve">3. wirtschaftliche Unternehmen (§ 114) und organisatorisch verselbstständigte Einrichtungen (§ 107 Abs. 2) ohne eigene Rechtspersönlichkeit,</w:t>
      </w:r>
    </w:p>
    <w:p>
      <w:r>
        <w:t xml:space="preserve">4. rechtlich unselbstständige Versorgungs- und Versicherungseinrichtungen.</w:t>
      </w:r>
    </w:p>
    <w:p>
      <w:r>
        <w:t xml:space="preserve">(2) Sondervermögen nach Absatz 1 Nrn. 1 und 2 unterliegen den Vorschriften über die Haushaltswirtschaft. Sie sind im Haushaltsplan und im Jahresabschluss der Gemeinde gesondert nachzuweisen.</w:t>
      </w:r>
    </w:p>
    <w:p>
      <w:r>
        <w:t xml:space="preserve">(3) Für Sondervermögen nach Absatz 1 Nummer 3 sind § 75 Absatz 1 und Absatz 2 Satz 1 und 2 sowie Absatz 6 und 7, die §§ 84 bis 90, § 92 Absatz 3 und die §§ 93, 94 und 96 sinngemäß anzuwenden.</w:t>
      </w:r>
    </w:p>
    <w:p>
      <w:r>
        <w:t xml:space="preserve">(4) Für Sondervermögen nach Absatz 1 Nr. 4 können die für die Wirtschaftsführung und das Rechnungswesen der Eigenbetriebe geltenden Vorschriften sinngemäß angewendet werden. Absatz 3 gilt sinngemäß.</w:t>
      </w:r>
    </w:p>
    <w:p>
      <w:r>
        <w:rPr>
          <w:color w:val="555555"/>
          <w:sz w:val="17"/>
        </w:rPr>
        <w:t xml:space="preserve">Zitiervorschlag: § 97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https://recht.nulegal.eu/gesetze/NW_28849/97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