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92 NW_28849 (Nordrhein-Westfalen) — Eröffnungsbilanz</w:t>
      </w:r>
    </w:p>
    <w:p>
      <w:r>
        <w:rPr>
          <w:color w:val="555555"/>
          <w:sz w:val="18"/>
        </w:rPr>
        <w:t xml:space="preserve">GO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Gemeinde hat zu Beginn des Haushaltsjahres, in dem sie erstmals ihre Geschäftsvorfälle nach dem System der doppelten Buchführung erfasst, eine Eröffnungsbilanz aufzustellen. Auf die Eröffnungsbilanz sind die für den Jahresabschluss geltenden Vorschriften mit Ausnahme des § 95 Absatz 2 Satz 1 Nummern 1 bis 3 entsprechend anzuwenden. Die Vorschriften der § 95 Absatz 3 und § 96 sind entsprechend anzuwenden.</w:t>
      </w:r>
    </w:p>
    <w:p>
      <w:r>
        <w:t xml:space="preserve">(2) Die Ermittlung der Wertansätze für die Eröffnungsbilanz ist auf der Grundlage von vorsichtig geschätzten Zeitwerten vorzunehmen. Die in der Eröffnungsbilanz angesetzten Werte für die Vermögensgegenstände gelten für die künftigen Haushaltsjahre als Anschaffungs- oder Herstellungskosten, soweit nicht Wertberichtigungen nach Absatz 5 vorgenommen werden.</w:t>
      </w:r>
    </w:p>
    <w:p>
      <w:r>
        <w:t xml:space="preserve">(3) Die Eröffnungsbilanz einschließlich des Anhangs mit allen Anlagen unterliegt der örtlichen Prüfung nach §§ 101 bis 104, § 59 Absatz 3 gilt entsprechend.</w:t>
      </w:r>
    </w:p>
    <w:p>
      <w:r>
        <w:t xml:space="preserve">(4) Die Eröffnungsbilanz einschließlich des Anhangs mit allen Anlagen unterliegt der überörtlichen Prüfung nach § 105.</w:t>
      </w:r>
    </w:p>
    <w:p>
      <w:r>
        <w:t xml:space="preserve">(5) Ergibt sich bei der Aufstellung späterer Jahresabschlüsse, dass in der Eröffnungsbilanz Vermögensgegenstände oder Sonderposten oder Schulden fehlerhaft angesetzt worden sind, so ist der Wertansatz zu berichtigen oder nachzuholen. Die Eröffnungsbilanz gilt dann als geändert. Eine Berichtigung kann letztmals im vierten der Eröffnungsbilanz folgenden Jahresabschluss vorgenommen werden. Vorherige Jahresabschlüsse sind nicht zu berichtigen.</w:t>
      </w:r>
    </w:p>
    <w:p>
      <w:r>
        <w:rPr>
          <w:color w:val="555555"/>
          <w:sz w:val="17"/>
        </w:rPr>
        <w:t xml:space="preserve">Zitiervorschlag: § 92 NW_28849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https://recht.nulegal.eu/gesetze/NW_28849/92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