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NW_28849 (Nordrhein-Westfalen) — Inventar, Inventur und allgemeine Bewertungsgrundsätze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zum Schluss eines jeden Haushaltsjahres ihre Grundstücke und grundstücksgleichen Rechte, ihre Forderungen und Schulden, den Betrag des baren Geldes sowie ihre sonstigen Vermögensgegenstände genau zu verzeichnen und dabei den Wert der einzelnen Vermögensgegenstände und Schulden anzugeben (Inventar).</w:t>
      </w:r>
    </w:p>
    <w:p>
      <w:r>
        <w:t xml:space="preserve">(2) Körperliche Vermögensgegenstände sind durch eine körperliche Bestandsaufnahme zu erfassen, soweit durch Gesetz oder Rechtsverordnung nichts anderes bestimmt ist.</w:t>
      </w:r>
    </w:p>
    <w:p>
      <w:r>
        <w:t xml:space="preserve">(3) Das Inventar ist innerhalb der einem ordnungsgemäßen Geschäftsgang entsprechenden Zeit aufzustellen.</w:t>
      </w:r>
    </w:p>
    <w:p>
      <w:r>
        <w:t xml:space="preserve">(4) Die Bewertung des in der Bilanz auszuweisenden Vermögens, der Sonderposten, der Rückstellungen, der Verbindlichkeiten und der Rechnungsabgrenzungsposten richtet sich nach den Grundsätzen ordnungsmäßiger Buchführung. Dabei gilt insbesondere:</w:t>
      </w:r>
    </w:p>
    <w:p>
      <w:r>
        <w:t xml:space="preserve">1. Die Wertansätze in der Eröffnungsbilanz des Haushaltsjahres müssen mit denen der Schlussbilanz des vorhergehenden Haushaltsjahres übereinstimmen;</w:t>
      </w:r>
    </w:p>
    <w:p>
      <w:r>
        <w:t xml:space="preserve">2. die Vermögensgegenstände, Sonderposten, Rückstellungen, Verbindlichkeiten und Rechnungsabgrenzungsposten sind zum Abschlussstichtag einzeln zu bewerten;</w:t>
      </w:r>
    </w:p>
    <w:p>
      <w:r>
        <w:t xml:space="preserve">3. es ist wirklichkeitsgetreu zu bewerten; vorhersehbare Risiken und Verluste, die bis zum Abschlussstichtag entstanden sind, sind zu berücksichtigen, selbst wenn diese erst zwischen dem Abschlussstichtag und dem Tag der Aufstellung des Jahresabschlusses bekannt geworden sind; Gewinne sind nur zu berücksichtigen, sofern sie am Abschlussstichtag realisiert sind;</w:t>
      </w:r>
    </w:p>
    <w:p>
      <w:r>
        <w:t xml:space="preserve">4. Aufwendungen und Erträge des Haushaltsjahres sind unabhängig von den Zeitpunkten der entsprechenden Zahlungen im Jahresabschluss zu berücksichtigen und</w:t>
      </w:r>
    </w:p>
    <w:p>
      <w:r>
        <w:t xml:space="preserve">5. die auf den vorhergehenden Jahresabschluss angewandten Bewertungsmethoden sollen beibehalten werden.</w:t>
      </w:r>
    </w:p>
    <w:p>
      <w:r>
        <w:t xml:space="preserve">(5) Von den Grundsätzen des Absatzes 4 darf nur in begründeten Ausnahmefällen abgewichen werden.</w:t>
      </w:r>
    </w:p>
    <w:p>
      <w:r>
        <w:rPr>
          <w:color w:val="555555"/>
          <w:sz w:val="17"/>
        </w:rPr>
        <w:t xml:space="preserve">Zitiervorschlag: § 91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