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NW_28849 (Nordrhein-Westfalen) — Vermögensgegenstände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soll Vermögensgegenstände nur erwerben, soweit dies zur Erfüllung ihrer Aufgaben erforderlich ist oder wird.</w:t>
      </w:r>
    </w:p>
    <w:p>
      <w:r>
        <w:t xml:space="preserve">(2) Die Vermögensgegenstände sind pfleglich und wirtschaftlich zu verwalten. Bei Geldanlagen ist auf eine ausreichende Sicherheit zu achten; sie sollen einen angemessenen Ertrag erbringen.</w:t>
      </w:r>
    </w:p>
    <w:p>
      <w:r>
        <w:t xml:space="preserve">(3) Die Gemeinde darf Vermögensgegenstände, die sie zur Erfüllung ihrer Aufgaben in absehbarer Zeit nicht braucht, veräußern. Vermögensgegenstände dürfen in der Regel nur zu ihrem vollen Wert veräußert werden. Ausnahmen sind im besonderen öffentlichen Interesse zulässig. Dies gilt insbesondere für Veräußerungen zur Förderung von sozialen Einrichtungen, des sozialen Wohnungsbaus, des Denkmalschutzes und der Bildung privaten Eigentums unter sozialen Gesichtspunkten. Vor dem Unterwertverkauf eines Grundstücks an Unternehmen ist die Vereinbarkeit der Vergünstigung mit dem Binnenmarkt sicherzustellen.</w:t>
      </w:r>
    </w:p>
    <w:p>
      <w:r>
        <w:t xml:space="preserve">(4) Für die Überlassung der Nutzung eines Vermögensgegenstandes gilt Absatz 3 sinngemäß.</w:t>
      </w:r>
    </w:p>
    <w:p>
      <w:r>
        <w:t xml:space="preserve">(5) Für die Verwaltung und Bewirtschaftung von Gemeindewaldungen gelten die Vorschriften dieses Gesetzes und des Landesforstgesetzes.</w:t>
      </w:r>
    </w:p>
    <w:p>
      <w:r>
        <w:rPr>
          <w:color w:val="555555"/>
          <w:sz w:val="17"/>
        </w:rPr>
        <w:t xml:space="preserve">Zitiervorschlag: § 90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