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NW_28849 (Nordrhein-Westfalen) — Mittelfristige Ergebnis- und Finanzplanung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hat ihrer Haushaltswirtschaft eine fünfjährige Ergebnis- und Finanzplanung zu Grunde zu legen und in den Haushaltsplan einzubeziehen. Das erste Planungsjahr ist das laufende Haushaltsjahr. Die Ergebnis- und Finanzplanung für die dem Haushaltsjahr folgenden drei Planungsjahre soll in den einzelnen Jahren ausgeglichen sein. Sie ist mit der Haushaltssatzung der Entwicklung anzupassen und fortzuführen.</w:t>
      </w:r>
    </w:p>
    <w:p>
      <w:r>
        <w:t xml:space="preserve">(2) Soll in der mittelfristigen Ergebnis- und Finanzplanung der Ausgleich eines geplanten Jahresfehlbetrages durch Vortrag erreicht werden, bedarf es dazu der Genehmigung der Aufsichtsbehörde. § 75 Absatz 4 Satz 2 und 3 gelten entsprechend. Die Aufsichtsbehörde kann die Gemeinde zur Aufstellung eines Haushaltssicherungskonzeptes verpflichten, wenn die stetige Erfüllung der Aufgaben nach § 75 Absatz 1 Satz 1 nicht gesichert erscheint.</w:t>
      </w:r>
    </w:p>
    <w:p>
      <w:r>
        <w:rPr>
          <w:color w:val="555555"/>
          <w:sz w:val="17"/>
        </w:rPr>
        <w:t xml:space="preserve">Zitiervorschlag: § 84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